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C5" w:rsidRPr="008C6C5A" w:rsidRDefault="0039084B" w:rsidP="00272724">
      <w:pPr>
        <w:ind w:left="6096" w:firstLine="1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6D3CC5" w:rsidRPr="008C6C5A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E65B8A" w:rsidRPr="00F21F9B" w:rsidRDefault="00E65B8A" w:rsidP="00E65B8A">
      <w:pPr>
        <w:spacing w:after="0"/>
        <w:ind w:left="6096" w:firstLine="164"/>
        <w:jc w:val="center"/>
        <w:rPr>
          <w:rFonts w:ascii="Times New Roman" w:hAnsi="Times New Roman" w:cs="Times New Roman"/>
          <w:sz w:val="24"/>
          <w:szCs w:val="24"/>
        </w:rPr>
      </w:pPr>
      <w:r w:rsidRPr="00F21F9B">
        <w:rPr>
          <w:rFonts w:ascii="Times New Roman" w:eastAsia="Times New Roman" w:hAnsi="Times New Roman" w:cs="Times New Roman"/>
          <w:sz w:val="24"/>
          <w:szCs w:val="24"/>
        </w:rPr>
        <w:t>Советом Фонда</w:t>
      </w:r>
    </w:p>
    <w:p w:rsidR="00E65B8A" w:rsidRPr="00F21F9B" w:rsidRDefault="00E65B8A" w:rsidP="00E65B8A">
      <w:pPr>
        <w:spacing w:after="0"/>
        <w:ind w:left="6096" w:firstLine="164"/>
        <w:jc w:val="center"/>
        <w:rPr>
          <w:rFonts w:ascii="Times New Roman" w:hAnsi="Times New Roman" w:cs="Times New Roman"/>
          <w:sz w:val="24"/>
          <w:szCs w:val="24"/>
        </w:rPr>
      </w:pPr>
      <w:r w:rsidRPr="00F21F9B">
        <w:rPr>
          <w:rFonts w:ascii="Times New Roman" w:eastAsia="Times New Roman" w:hAnsi="Times New Roman" w:cs="Times New Roman"/>
          <w:sz w:val="24"/>
          <w:szCs w:val="24"/>
        </w:rPr>
        <w:t>НО «Фонд развития экономики и прямых инвестиций Чукотского автономного округа»</w:t>
      </w:r>
    </w:p>
    <w:p w:rsidR="00E65B8A" w:rsidRPr="00F21F9B" w:rsidRDefault="00E65B8A" w:rsidP="00E65B8A">
      <w:pPr>
        <w:spacing w:after="0"/>
        <w:ind w:left="6096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F9B">
        <w:rPr>
          <w:rFonts w:ascii="Times New Roman" w:eastAsia="Times New Roman" w:hAnsi="Times New Roman" w:cs="Times New Roman"/>
          <w:sz w:val="24"/>
          <w:szCs w:val="24"/>
        </w:rPr>
        <w:t xml:space="preserve">«20» февраля 2017г протокол №3, </w:t>
      </w:r>
    </w:p>
    <w:p w:rsidR="00E65B8A" w:rsidRPr="00F21F9B" w:rsidRDefault="00E65B8A" w:rsidP="00E65B8A">
      <w:pPr>
        <w:spacing w:after="0"/>
        <w:ind w:left="6096" w:firstLine="164"/>
        <w:jc w:val="center"/>
        <w:rPr>
          <w:rFonts w:ascii="Times New Roman" w:hAnsi="Times New Roman" w:cs="Times New Roman"/>
          <w:sz w:val="24"/>
          <w:szCs w:val="24"/>
        </w:rPr>
      </w:pPr>
      <w:r w:rsidRPr="00F21F9B">
        <w:rPr>
          <w:rFonts w:ascii="Times New Roman" w:eastAsia="Times New Roman" w:hAnsi="Times New Roman" w:cs="Times New Roman"/>
          <w:sz w:val="24"/>
          <w:szCs w:val="24"/>
        </w:rPr>
        <w:t>изменена «25» декабря 2017 г.</w:t>
      </w:r>
    </w:p>
    <w:p w:rsidR="00E65B8A" w:rsidRPr="00F21F9B" w:rsidRDefault="00E65B8A" w:rsidP="00E65B8A">
      <w:pPr>
        <w:spacing w:after="0" w:line="239" w:lineRule="auto"/>
        <w:ind w:left="6096" w:firstLine="1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1F9B">
        <w:rPr>
          <w:rFonts w:ascii="Times New Roman" w:eastAsia="Times New Roman" w:hAnsi="Times New Roman" w:cs="Times New Roman"/>
          <w:sz w:val="24"/>
          <w:szCs w:val="24"/>
        </w:rPr>
        <w:t xml:space="preserve">протокол № 21, «01» ноября </w:t>
      </w:r>
    </w:p>
    <w:p w:rsidR="00E65B8A" w:rsidRPr="00F21F9B" w:rsidRDefault="00E65B8A" w:rsidP="00E65B8A">
      <w:pPr>
        <w:spacing w:after="0" w:line="239" w:lineRule="auto"/>
        <w:ind w:left="6096" w:firstLine="164"/>
        <w:jc w:val="center"/>
        <w:rPr>
          <w:rFonts w:ascii="Times New Roman" w:hAnsi="Times New Roman" w:cs="Times New Roman"/>
          <w:sz w:val="24"/>
          <w:szCs w:val="24"/>
        </w:rPr>
      </w:pPr>
      <w:r w:rsidRPr="00F21F9B">
        <w:rPr>
          <w:rFonts w:ascii="Times New Roman" w:eastAsia="Times New Roman" w:hAnsi="Times New Roman" w:cs="Times New Roman"/>
          <w:sz w:val="24"/>
          <w:szCs w:val="24"/>
        </w:rPr>
        <w:t xml:space="preserve">2018г. протокол № 19, «23» декабря 2019г.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1F9B">
        <w:rPr>
          <w:rFonts w:ascii="Times New Roman" w:eastAsia="Times New Roman" w:hAnsi="Times New Roman" w:cs="Times New Roman"/>
          <w:sz w:val="24"/>
          <w:szCs w:val="24"/>
        </w:rPr>
        <w:t>ротокол №29.</w:t>
      </w:r>
    </w:p>
    <w:p w:rsidR="006D3CC5" w:rsidRPr="008C6C5A" w:rsidRDefault="006D3CC5" w:rsidP="006D3CC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8C6C5A" w:rsidRDefault="006D3CC5" w:rsidP="006D3CC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8C6C5A" w:rsidRDefault="006D3CC5" w:rsidP="006D3CC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8C6C5A" w:rsidRDefault="006D3CC5" w:rsidP="006D3CC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8C6C5A" w:rsidRDefault="006D3CC5" w:rsidP="006D3CC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8C6C5A" w:rsidRDefault="006D3CC5" w:rsidP="006D3CC5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8C6C5A" w:rsidRDefault="006D3CC5" w:rsidP="006D3CC5">
      <w:pPr>
        <w:spacing w:line="236" w:lineRule="exact"/>
        <w:rPr>
          <w:rFonts w:ascii="Times New Roman" w:hAnsi="Times New Roman" w:cs="Times New Roman"/>
          <w:sz w:val="24"/>
          <w:szCs w:val="24"/>
        </w:rPr>
      </w:pPr>
    </w:p>
    <w:p w:rsidR="00C5202E" w:rsidRDefault="00C5202E" w:rsidP="006D3CC5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</w:t>
      </w:r>
    </w:p>
    <w:p w:rsidR="00C5202E" w:rsidRDefault="00C5202E" w:rsidP="006D3CC5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ВЫПОЛНЕНИИ</w:t>
      </w:r>
    </w:p>
    <w:p w:rsidR="006D3CC5" w:rsidRPr="008C6C5A" w:rsidRDefault="006D3CC5" w:rsidP="006D3CC5">
      <w:pPr>
        <w:ind w:right="-3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  <w:r w:rsidR="00C5202E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6D3CC5" w:rsidRPr="008C6C5A" w:rsidRDefault="0052337C" w:rsidP="006D3CC5">
      <w:pPr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Некоммерческой организации</w:t>
      </w:r>
    </w:p>
    <w:p w:rsidR="006D3CC5" w:rsidRPr="008C6C5A" w:rsidRDefault="006D3CC5" w:rsidP="006D3CC5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8C6C5A" w:rsidRDefault="006D3CC5" w:rsidP="006D3CC5">
      <w:pPr>
        <w:spacing w:line="236" w:lineRule="auto"/>
        <w:ind w:right="-359"/>
        <w:jc w:val="center"/>
        <w:rPr>
          <w:rFonts w:ascii="Times New Roman" w:hAnsi="Times New Roman" w:cs="Times New Roman"/>
          <w:sz w:val="24"/>
          <w:szCs w:val="24"/>
        </w:rPr>
      </w:pP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2337C"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развития экономики и прямых инвестиций Чукотского автономного округа</w:t>
      </w: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432909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а 201</w:t>
      </w:r>
      <w:r w:rsidR="00202911"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202911"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8C6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p w:rsidR="006D3CC5" w:rsidRPr="008C6C5A" w:rsidRDefault="006D3CC5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8C6C5A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A51ABD" w:rsidRDefault="00B3384F" w:rsidP="006D3CC5">
      <w:pPr>
        <w:rPr>
          <w:rFonts w:ascii="Times New Roman" w:hAnsi="Times New Roman" w:cs="Times New Roman"/>
          <w:sz w:val="24"/>
          <w:szCs w:val="24"/>
        </w:rPr>
      </w:pPr>
    </w:p>
    <w:p w:rsidR="00B3384F" w:rsidRPr="00A51ABD" w:rsidRDefault="008F52FD" w:rsidP="00B338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ABD">
        <w:rPr>
          <w:rFonts w:ascii="Times New Roman" w:hAnsi="Times New Roman" w:cs="Times New Roman"/>
          <w:sz w:val="24"/>
          <w:szCs w:val="24"/>
        </w:rPr>
        <w:t>г</w:t>
      </w:r>
      <w:r w:rsidR="00B3384F" w:rsidRPr="00A51ABD">
        <w:rPr>
          <w:rFonts w:ascii="Times New Roman" w:hAnsi="Times New Roman" w:cs="Times New Roman"/>
          <w:sz w:val="24"/>
          <w:szCs w:val="24"/>
        </w:rPr>
        <w:t>.</w:t>
      </w:r>
      <w:r w:rsidRPr="00A51ABD">
        <w:rPr>
          <w:rFonts w:ascii="Times New Roman" w:hAnsi="Times New Roman" w:cs="Times New Roman"/>
          <w:sz w:val="24"/>
          <w:szCs w:val="24"/>
        </w:rPr>
        <w:t xml:space="preserve"> </w:t>
      </w:r>
      <w:r w:rsidR="00B3384F" w:rsidRPr="00A51ABD">
        <w:rPr>
          <w:rFonts w:ascii="Times New Roman" w:hAnsi="Times New Roman" w:cs="Times New Roman"/>
          <w:sz w:val="24"/>
          <w:szCs w:val="24"/>
        </w:rPr>
        <w:t>Анадырь, 20</w:t>
      </w:r>
      <w:r w:rsidR="00C5202E" w:rsidRPr="00A51ABD">
        <w:rPr>
          <w:rFonts w:ascii="Times New Roman" w:hAnsi="Times New Roman" w:cs="Times New Roman"/>
          <w:sz w:val="24"/>
          <w:szCs w:val="24"/>
        </w:rPr>
        <w:t>20</w:t>
      </w:r>
      <w:r w:rsidR="00B3384F" w:rsidRPr="00A51ABD">
        <w:rPr>
          <w:rFonts w:ascii="Times New Roman" w:hAnsi="Times New Roman" w:cs="Times New Roman"/>
          <w:sz w:val="24"/>
          <w:szCs w:val="24"/>
        </w:rPr>
        <w:t>г</w:t>
      </w:r>
      <w:r w:rsidRPr="00A51ABD">
        <w:rPr>
          <w:rFonts w:ascii="Times New Roman" w:hAnsi="Times New Roman" w:cs="Times New Roman"/>
          <w:sz w:val="24"/>
          <w:szCs w:val="24"/>
        </w:rPr>
        <w:t>.</w:t>
      </w:r>
    </w:p>
    <w:p w:rsidR="00B3384F" w:rsidRPr="00A51ABD" w:rsidRDefault="00B3384F" w:rsidP="006D3CC5">
      <w:pPr>
        <w:rPr>
          <w:rFonts w:ascii="Times New Roman" w:hAnsi="Times New Roman" w:cs="Times New Roman"/>
          <w:sz w:val="24"/>
          <w:szCs w:val="24"/>
        </w:rPr>
        <w:sectPr w:rsidR="00B3384F" w:rsidRPr="00A51ABD" w:rsidSect="009A7ACC">
          <w:footerReference w:type="default" r:id="rId8"/>
          <w:pgSz w:w="11900" w:h="16838"/>
          <w:pgMar w:top="1238" w:right="946" w:bottom="1440" w:left="1440" w:header="0" w:footer="0" w:gutter="0"/>
          <w:pgNumType w:start="1" w:chapStyle="1"/>
          <w:cols w:space="720" w:equalWidth="0">
            <w:col w:w="9520"/>
          </w:cols>
        </w:sectPr>
      </w:pPr>
    </w:p>
    <w:p w:rsidR="006D3CC5" w:rsidRPr="00A51ABD" w:rsidRDefault="006D3CC5" w:rsidP="006D3CC5">
      <w:pPr>
        <w:spacing w:line="27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A51ABD" w:rsidRDefault="006D3CC5" w:rsidP="006D3CC5">
      <w:pPr>
        <w:ind w:right="-11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AB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6"/>
        <w:gridCol w:w="876"/>
        <w:gridCol w:w="7629"/>
        <w:gridCol w:w="708"/>
      </w:tblGrid>
      <w:tr w:rsidR="008C6C5A" w:rsidRPr="00A51ABD" w:rsidTr="00FB0AE3">
        <w:trPr>
          <w:trHeight w:val="373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п.п.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A25F9" w:rsidRPr="00A51ABD" w:rsidRDefault="00CA25F9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стр.</w:t>
            </w:r>
          </w:p>
        </w:tc>
      </w:tr>
      <w:tr w:rsidR="00F33655" w:rsidRPr="00A51ABD" w:rsidTr="00FC60EA">
        <w:trPr>
          <w:trHeight w:val="8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формирования и реализации приоритетных направлений деятельности некоммерческой организации «Фонд развития экономики и прямых инвестиций Чукотского автономного округа» в 2017-2019 годах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446CB9" w:rsidP="00CA2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33655" w:rsidRPr="00A51ABD" w:rsidTr="00FB0AE3">
        <w:trPr>
          <w:trHeight w:val="5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социально-экономического развития субъектов Дальнего Востока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446CB9" w:rsidP="00CA2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51ABD" w:rsidRPr="00A51ABD" w:rsidTr="00FB0AE3">
        <w:trPr>
          <w:trHeight w:val="5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Макроэкономические прогнозные показатели и приоритетные направления развития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446CB9" w:rsidP="00DD2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33655" w:rsidRPr="00A51ABD" w:rsidTr="00FB0AE3">
        <w:trPr>
          <w:trHeight w:val="3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25F9" w:rsidRPr="00A51ABD" w:rsidRDefault="00CA25F9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Стратегия развития социально-экономического развития Чукотского АО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446CB9" w:rsidP="006A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33655" w:rsidRPr="00A51ABD" w:rsidTr="00FB0AE3">
        <w:trPr>
          <w:trHeight w:val="5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0AE3">
            <w:pPr>
              <w:spacing w:after="0" w:line="240" w:lineRule="auto"/>
              <w:ind w:left="-35" w:firstLine="3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«Стимулирования экономической активности населения Чукотского автоно</w:t>
            </w:r>
            <w:r w:rsidR="004F6E43">
              <w:rPr>
                <w:rFonts w:ascii="Times New Roman" w:eastAsia="Times New Roman" w:hAnsi="Times New Roman" w:cs="Times New Roman"/>
                <w:lang w:eastAsia="ru-RU"/>
              </w:rPr>
              <w:t>много округа на 2014-2018 годы»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655" w:rsidRPr="00A51ABD" w:rsidTr="00FB0AE3">
        <w:trPr>
          <w:trHeight w:val="8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 xml:space="preserve">План мероприятий («дорожной карты») внедрения в Чукотском автономном округе лучших практик Национального рейтинга состояния инвестиционного климата в </w:t>
            </w:r>
            <w:r w:rsidR="004F6E43">
              <w:rPr>
                <w:rFonts w:ascii="Times New Roman" w:eastAsia="Times New Roman" w:hAnsi="Times New Roman" w:cs="Times New Roman"/>
                <w:lang w:eastAsia="ru-RU"/>
              </w:rPr>
              <w:t>субъектах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3655" w:rsidRPr="00A51ABD" w:rsidTr="00FB0AE3">
        <w:trPr>
          <w:trHeight w:val="6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Параллельные задачи Фонда при реализации мероприятий "Дорожной карты", в т.ч.: в соответствии  "Дорожной картой" Чукотского АО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 </w:t>
            </w:r>
          </w:p>
        </w:tc>
      </w:tr>
      <w:tr w:rsidR="00F33655" w:rsidRPr="00A51ABD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субъектов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DD2FBB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0</w:t>
            </w:r>
          </w:p>
        </w:tc>
      </w:tr>
      <w:tr w:rsidR="00A51ABD" w:rsidRPr="00A51ABD" w:rsidTr="00FB0AE3">
        <w:trPr>
          <w:trHeight w:val="6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субъектов бизнеса в целом, в т.ч. крупного сегмента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0</w:t>
            </w:r>
          </w:p>
        </w:tc>
      </w:tr>
      <w:tr w:rsidR="00F33655" w:rsidRPr="00A51ABD" w:rsidTr="00FB0AE3">
        <w:trPr>
          <w:trHeight w:val="5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Применение мер государственной поддержки субъектов малого и среднего сегментов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DD2FBB">
            <w:pPr>
              <w:jc w:val="right"/>
              <w:rPr>
                <w:sz w:val="24"/>
                <w:szCs w:val="24"/>
              </w:rPr>
            </w:pPr>
            <w:r w:rsidRPr="00A51ABD">
              <w:t>12</w:t>
            </w:r>
          </w:p>
        </w:tc>
      </w:tr>
      <w:tr w:rsidR="00A51ABD" w:rsidRPr="00A51ABD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Институты поддержки предпр</w:t>
            </w:r>
            <w:r w:rsidR="004F6E43">
              <w:rPr>
                <w:rFonts w:ascii="Times New Roman" w:eastAsia="Times New Roman" w:hAnsi="Times New Roman" w:cs="Times New Roman"/>
                <w:lang w:eastAsia="ru-RU"/>
              </w:rPr>
              <w:t>инимательства и их цели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DD2FBB">
            <w:pPr>
              <w:jc w:val="right"/>
              <w:rPr>
                <w:sz w:val="24"/>
                <w:szCs w:val="24"/>
              </w:rPr>
            </w:pPr>
            <w:r w:rsidRPr="00A51ABD">
              <w:t>1</w:t>
            </w:r>
            <w:r w:rsidR="00DD2FBB" w:rsidRPr="00A51ABD">
              <w:t>3</w:t>
            </w:r>
          </w:p>
        </w:tc>
      </w:tr>
      <w:tr w:rsidR="00A51ABD" w:rsidRPr="00A51ABD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 xml:space="preserve">1.5.3.1 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 xml:space="preserve">Институты поддержки бизнеса в целом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DD2FBB">
            <w:pPr>
              <w:jc w:val="right"/>
              <w:rPr>
                <w:sz w:val="24"/>
                <w:szCs w:val="24"/>
              </w:rPr>
            </w:pPr>
            <w:r w:rsidRPr="00A51ABD">
              <w:t>1</w:t>
            </w:r>
            <w:r w:rsidR="00DD2FBB" w:rsidRPr="00A51ABD">
              <w:t>3</w:t>
            </w:r>
          </w:p>
        </w:tc>
      </w:tr>
      <w:tr w:rsidR="00A51ABD" w:rsidRPr="00A51ABD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1.5.3.2.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 xml:space="preserve">Институты поддержки среднего и малого бизнеса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3</w:t>
            </w:r>
          </w:p>
        </w:tc>
      </w:tr>
      <w:tr w:rsidR="00A51ABD" w:rsidRPr="00A51ABD" w:rsidTr="00FB0AE3">
        <w:trPr>
          <w:trHeight w:val="54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Действующие механизмы поддержки и предпосылки их развития для субъектов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3</w:t>
            </w:r>
          </w:p>
        </w:tc>
      </w:tr>
      <w:tr w:rsidR="00A51ABD" w:rsidRPr="00A51ABD" w:rsidTr="00FB0AE3">
        <w:trPr>
          <w:trHeight w:val="5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Текущее состояние и предпосылки развития информационной и маркетинговой поддержки субъектов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5</w:t>
            </w:r>
          </w:p>
        </w:tc>
      </w:tr>
      <w:tr w:rsidR="00A51ABD" w:rsidRPr="00A51ABD" w:rsidTr="00FB0AE3">
        <w:trPr>
          <w:trHeight w:val="56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Текущее состояние и предпосылки развития имущественной поддержки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6</w:t>
            </w:r>
          </w:p>
        </w:tc>
      </w:tr>
      <w:tr w:rsidR="00A51ABD" w:rsidRPr="00A51ABD" w:rsidTr="00FB0AE3">
        <w:trPr>
          <w:trHeight w:val="5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C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Сравнительный анализ опыта других регионов России и зарубежного опыта поддержки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7</w:t>
            </w:r>
          </w:p>
        </w:tc>
      </w:tr>
      <w:tr w:rsidR="00A51ABD" w:rsidRPr="00A51ABD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Опыт поддержки субъектов бизнеса,  в т.ч. крупного сегмента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</w:rPr>
              <w:t>1</w:t>
            </w:r>
            <w:r w:rsidR="00446CB9">
              <w:rPr>
                <w:rFonts w:ascii="Times New Roman" w:hAnsi="Times New Roman" w:cs="Times New Roman"/>
              </w:rPr>
              <w:t>7</w:t>
            </w:r>
          </w:p>
        </w:tc>
      </w:tr>
      <w:tr w:rsidR="008C6C5A" w:rsidRPr="00A51ABD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Опыт поддержки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DD2FBB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1ABD" w:rsidRPr="00A51ABD" w:rsidTr="00FB0AE3">
        <w:trPr>
          <w:trHeight w:val="3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Приоритетные направления деятельности Фонда на 2017-2019 годы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A51ABD" w:rsidRDefault="00DD2FBB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6C5A" w:rsidRPr="008C6C5A" w:rsidTr="00FB0AE3">
        <w:trPr>
          <w:gridAfter w:val="3"/>
          <w:wAfter w:w="9213" w:type="dxa"/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6C5A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3.2..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Финансовая поддержка субъектов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446CB9" w:rsidP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6C5A" w:rsidRPr="008C6C5A" w:rsidTr="00FB0AE3">
        <w:trPr>
          <w:trHeight w:val="54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Организация выдачи пору</w:t>
            </w:r>
            <w:r w:rsidR="004F6E43">
              <w:rPr>
                <w:rFonts w:ascii="Times New Roman" w:eastAsia="Times New Roman" w:hAnsi="Times New Roman" w:cs="Times New Roman"/>
                <w:lang w:eastAsia="ru-RU"/>
              </w:rPr>
              <w:t>чительств/независимых гарантий</w:t>
            </w: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согарантий</w:t>
            </w:r>
            <w:proofErr w:type="spellEnd"/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субъектам предпринимательства, в т.ч.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446C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C6C5A" w:rsidRPr="008C6C5A" w:rsidTr="00FB0AE3">
        <w:trPr>
          <w:trHeight w:val="10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Организация иных форм финансовой поддержки субъектов предпринимательства (в т.ч. МСП), включая развитие лизинговых и факторинговых операций, разработку механизмов рефинансирования долговых обязательств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C6C5A" w:rsidRPr="008C6C5A" w:rsidTr="00FB0AE3">
        <w:trPr>
          <w:trHeight w:val="85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Организация финансирования кредитных организаций, иных юридических лиц, оказывающих финансовую поддержку субъектам предпринимательства, в т.ч. субъектам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DD2FBB" w:rsidP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4A7">
              <w:rPr>
                <w:rFonts w:ascii="Times New Roman" w:hAnsi="Times New Roman" w:cs="Times New Roman"/>
              </w:rPr>
              <w:t>2</w:t>
            </w:r>
          </w:p>
        </w:tc>
      </w:tr>
      <w:tr w:rsidR="008C6C5A" w:rsidRPr="008C6C5A" w:rsidTr="00FB0AE3">
        <w:trPr>
          <w:trHeight w:val="83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3.2.4.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Привлечение денежных средств российских, иностранных и международных организаций в целях поддержки субъектов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DD2FBB" w:rsidP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4A7">
              <w:rPr>
                <w:rFonts w:ascii="Times New Roman" w:hAnsi="Times New Roman" w:cs="Times New Roman"/>
              </w:rPr>
              <w:t>3</w:t>
            </w:r>
          </w:p>
        </w:tc>
      </w:tr>
      <w:tr w:rsidR="008C6C5A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Имущественная поддержка субъектов 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C6C5A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Организация системы мер правовой поддержки субъектов МСП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DD2FBB" w:rsidP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4A7">
              <w:rPr>
                <w:rFonts w:ascii="Times New Roman" w:hAnsi="Times New Roman" w:cs="Times New Roman"/>
              </w:rPr>
              <w:t>4</w:t>
            </w:r>
          </w:p>
        </w:tc>
      </w:tr>
      <w:tr w:rsidR="008C6C5A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3.4.1.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Правовая поддержка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DD2FBB" w:rsidP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74A7">
              <w:rPr>
                <w:rFonts w:ascii="Times New Roman" w:hAnsi="Times New Roman" w:cs="Times New Roman"/>
              </w:rPr>
              <w:t>4</w:t>
            </w:r>
          </w:p>
        </w:tc>
      </w:tr>
      <w:tr w:rsidR="008C6C5A" w:rsidRPr="008C6C5A" w:rsidTr="00FB0AE3">
        <w:trPr>
          <w:trHeight w:val="5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3.4.2.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Содействие деятельности общероссийских некоммерческих организаций, выражающих интересы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8C6C5A" w:rsidRPr="008C6C5A" w:rsidTr="00FB0AE3">
        <w:trPr>
          <w:trHeight w:val="84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3.4.3.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Подготовка предложений в Правительственную комиссию по вопросам конкуренции и развития малого и среднего предпринимательства для принятия решений в части оказания поддержки субъектам МСП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C6C5A" w:rsidRPr="008C6C5A" w:rsidTr="00FB0AE3">
        <w:trPr>
          <w:trHeight w:val="5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Участие в формировании инфраструктуры поддержки субъектов предпринимательства и обеспечение ее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C6C5A" w:rsidRPr="008C6C5A" w:rsidTr="00FB0AE3">
        <w:trPr>
          <w:trHeight w:val="111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доступа к перечню услуг Фондом, комплексных услуг «по типовым картам» субъектам МСП в целях оказания им поддержки по принципу «одного окна», в том числе через МФЦ и в электронной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C6C5A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поддержки в области бизнес-образования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8C6C5A" w:rsidRPr="008C6C5A" w:rsidTr="00FB0AE3">
        <w:trPr>
          <w:trHeight w:val="5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Ресурсное обеспечение реализации Программы деятельности Фонда на 2017-2019 годы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C6C5A" w:rsidRPr="008C6C5A" w:rsidTr="00FB0AE3">
        <w:trPr>
          <w:trHeight w:val="5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Финансовая основа реализации Программы деятельности Фонда на 2017-2019 годы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C6C5A" w:rsidRPr="008C6C5A" w:rsidTr="00FB0AE3">
        <w:trPr>
          <w:trHeight w:val="5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 w:rsidP="00E9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Годовой объем поручительств и (или) независимых гарантий (план)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C6C5A" w:rsidRPr="008C6C5A" w:rsidTr="00FB0AE3">
        <w:trPr>
          <w:trHeight w:val="5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 xml:space="preserve">Годовой объем привлеченного финансирования СМСП и организациями инфраструктуры поддержки с помощью поручительства и (или) </w:t>
            </w:r>
            <w:r w:rsidR="004F6E43">
              <w:rPr>
                <w:rFonts w:ascii="Times New Roman" w:hAnsi="Times New Roman" w:cs="Times New Roman"/>
              </w:rPr>
              <w:t>независимой гарантии РГО (план)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CE74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C6C5A" w:rsidRPr="008C6C5A" w:rsidTr="00FB0AE3">
        <w:trPr>
          <w:trHeight w:val="5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Плановые значения отношения действующих поручительств и (или) независимых гарантий к сумме гарантийного капитала на период планирования 2017-2019гг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A2B2F" w:rsidRPr="008C6C5A" w:rsidRDefault="006A2B2F" w:rsidP="00A10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3</w:t>
            </w:r>
            <w:r w:rsidR="00A10B42">
              <w:rPr>
                <w:rFonts w:ascii="Times New Roman" w:hAnsi="Times New Roman" w:cs="Times New Roman"/>
              </w:rPr>
              <w:t>1</w:t>
            </w:r>
          </w:p>
        </w:tc>
      </w:tr>
      <w:tr w:rsidR="00DD2FBB" w:rsidRPr="008C6C5A" w:rsidTr="00FB0AE3">
        <w:trPr>
          <w:trHeight w:val="5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2FBB" w:rsidRPr="008C6C5A" w:rsidRDefault="00DD2FBB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2FBB" w:rsidRPr="008C6C5A" w:rsidRDefault="00DD2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2FBB" w:rsidRPr="008C6C5A" w:rsidRDefault="002E5CF8">
            <w:pPr>
              <w:rPr>
                <w:rFonts w:ascii="Times New Roman" w:hAnsi="Times New Roman" w:cs="Times New Roman"/>
              </w:rPr>
            </w:pPr>
            <w:r w:rsidRPr="002E5CF8">
              <w:rPr>
                <w:rFonts w:ascii="Times New Roman" w:hAnsi="Times New Roman" w:cs="Times New Roman"/>
              </w:rPr>
              <w:t xml:space="preserve">Плановые значения результата от операционной и финансовой деятельности за год по основному виду деятельности Фонда в качестве РГО на </w:t>
            </w:r>
            <w:r w:rsidR="004F6E43">
              <w:rPr>
                <w:rFonts w:ascii="Times New Roman" w:hAnsi="Times New Roman" w:cs="Times New Roman"/>
              </w:rPr>
              <w:t>период планирования 2017-2019гг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D2FBB" w:rsidRPr="008C6C5A" w:rsidRDefault="00DD2FBB" w:rsidP="00A10B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0B42">
              <w:rPr>
                <w:rFonts w:ascii="Times New Roman" w:hAnsi="Times New Roman" w:cs="Times New Roman"/>
              </w:rPr>
              <w:t>1</w:t>
            </w:r>
          </w:p>
        </w:tc>
      </w:tr>
      <w:tr w:rsidR="008C6C5A" w:rsidRPr="008C6C5A" w:rsidTr="00FB0AE3">
        <w:trPr>
          <w:trHeight w:val="5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Развитие основных направлений деятельности в области управления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A10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C6C5A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рисками при реализации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A10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3</w:t>
            </w:r>
            <w:r w:rsidR="00A10B42">
              <w:rPr>
                <w:rFonts w:ascii="Times New Roman" w:hAnsi="Times New Roman" w:cs="Times New Roman"/>
              </w:rPr>
              <w:t>2</w:t>
            </w:r>
          </w:p>
        </w:tc>
      </w:tr>
      <w:tr w:rsidR="008C6C5A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C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деятельности Фонда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2B2F" w:rsidRPr="008C6C5A" w:rsidRDefault="006A2B2F" w:rsidP="00A10B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6C5A">
              <w:rPr>
                <w:rFonts w:ascii="Times New Roman" w:hAnsi="Times New Roman" w:cs="Times New Roman"/>
              </w:rPr>
              <w:t>3</w:t>
            </w:r>
            <w:r w:rsidR="00A10B42">
              <w:rPr>
                <w:rFonts w:ascii="Times New Roman" w:hAnsi="Times New Roman" w:cs="Times New Roman"/>
              </w:rPr>
              <w:t>5</w:t>
            </w:r>
          </w:p>
        </w:tc>
      </w:tr>
      <w:tr w:rsidR="00061372" w:rsidRPr="008C6C5A" w:rsidTr="00FB0AE3">
        <w:trPr>
          <w:trHeight w:val="3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1372" w:rsidRPr="008C6C5A" w:rsidRDefault="00E4349B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1372" w:rsidRPr="008C6C5A" w:rsidRDefault="00061372" w:rsidP="00CA25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1372" w:rsidRPr="008C6C5A" w:rsidRDefault="0060573B" w:rsidP="00FB1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57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Приложение </w:t>
            </w:r>
            <w:r w:rsidR="00E80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№1 </w:t>
            </w:r>
            <w:r w:rsidRPr="006057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Отчету о выполнении Плана контролируемых параметров к Программе деятельности НО "Фонд развития экономики и прямых инвестиций Чукотского автономного округа" на период 2017-2019 годы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10 страницах.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61372" w:rsidRPr="008C6C5A" w:rsidRDefault="00F516FD" w:rsidP="00A10B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10B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-4</w:t>
            </w:r>
            <w:r w:rsidR="00A10B42"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</w:tbl>
    <w:p w:rsidR="006D3CC5" w:rsidRPr="008C6C5A" w:rsidRDefault="006D3CC5" w:rsidP="006D3CC5">
      <w:pPr>
        <w:rPr>
          <w:rFonts w:ascii="Times New Roman" w:hAnsi="Times New Roman" w:cs="Times New Roman"/>
          <w:sz w:val="24"/>
          <w:szCs w:val="24"/>
        </w:rPr>
        <w:sectPr w:rsidR="006D3CC5" w:rsidRPr="008C6C5A">
          <w:pgSz w:w="11900" w:h="16838"/>
          <w:pgMar w:top="699" w:right="846" w:bottom="715" w:left="1440" w:header="0" w:footer="0" w:gutter="0"/>
          <w:cols w:space="720" w:equalWidth="0">
            <w:col w:w="9620"/>
          </w:cols>
        </w:sectPr>
      </w:pPr>
    </w:p>
    <w:p w:rsidR="006D3CC5" w:rsidRPr="00DE6060" w:rsidRDefault="006D3CC5" w:rsidP="00786113">
      <w:pPr>
        <w:spacing w:line="236" w:lineRule="auto"/>
        <w:ind w:left="260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Условия формирования и реализации приоритетных направлений деятельности </w:t>
      </w:r>
      <w:r w:rsidR="00786113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некоммерческой организации «Фонд развития экономики и прямых инвестиций Чукотского автономного округа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786113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54D69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786113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2017-2019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</w:t>
      </w:r>
      <w:r w:rsidR="00A7225F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3655" w:rsidRPr="00DE6060" w:rsidRDefault="00F33655" w:rsidP="001E5403">
      <w:pPr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Условия формирования и реализации направлений </w:t>
      </w:r>
      <w:r w:rsidR="00ED6E5C" w:rsidRPr="00DE6060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НО «Фонд развития Чукотки» в 2017-2019гг оставались в заданных параметрах.</w:t>
      </w:r>
    </w:p>
    <w:p w:rsidR="001E5403" w:rsidRPr="00DE6060" w:rsidRDefault="001E5403" w:rsidP="001E5403">
      <w:pPr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Генеральная цель Фонда – создание регионального консолидированного механизма всесторонней помощи субъектам предпринимательства</w:t>
      </w:r>
      <w:r w:rsidR="00DF1E8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улучшения инвестиционного климата в Чукотском автономном округе</w:t>
      </w:r>
      <w:r w:rsidR="00F33655" w:rsidRPr="00DE6060">
        <w:rPr>
          <w:rFonts w:ascii="Times New Roman" w:eastAsia="Times New Roman" w:hAnsi="Times New Roman" w:cs="Times New Roman"/>
          <w:sz w:val="24"/>
          <w:szCs w:val="24"/>
        </w:rPr>
        <w:t xml:space="preserve"> – в целом реализована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5403" w:rsidRPr="00DE6060" w:rsidRDefault="007C01FC" w:rsidP="001E5403">
      <w:pPr>
        <w:spacing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генеральной цели 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>Фонд выполн</w:t>
      </w:r>
      <w:r w:rsidR="00F33655" w:rsidRPr="00DE6060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функции по координации инвесторов на оптимальное сочетание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следующих механизмов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403" w:rsidRPr="00DE6060" w:rsidRDefault="007C01FC" w:rsidP="00CD4CE9">
      <w:pPr>
        <w:pStyle w:val="a4"/>
        <w:numPr>
          <w:ilvl w:val="0"/>
          <w:numId w:val="57"/>
        </w:num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Применение выгодных 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финансирования, </w:t>
      </w:r>
    </w:p>
    <w:p w:rsidR="001E5403" w:rsidRPr="00DE6060" w:rsidRDefault="007C01FC" w:rsidP="00CD4CE9">
      <w:pPr>
        <w:pStyle w:val="a4"/>
        <w:numPr>
          <w:ilvl w:val="0"/>
          <w:numId w:val="57"/>
        </w:num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>программ государственной поддержки разного уровня, направленных на стимулирование инвестиционной деятельности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создание инфраструктуры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реализации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сопутствующих проектов, </w:t>
      </w:r>
    </w:p>
    <w:p w:rsidR="001E5403" w:rsidRPr="00DE6060" w:rsidRDefault="007C01FC" w:rsidP="00CD4CE9">
      <w:pPr>
        <w:pStyle w:val="a4"/>
        <w:numPr>
          <w:ilvl w:val="0"/>
          <w:numId w:val="57"/>
        </w:num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услуг Фонда по 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структурированию будущих сделок в рамках инвестиционной деятельности, </w:t>
      </w:r>
    </w:p>
    <w:p w:rsidR="00994122" w:rsidRPr="00DE6060" w:rsidRDefault="007C01FC" w:rsidP="00CD4CE9">
      <w:pPr>
        <w:pStyle w:val="a4"/>
        <w:numPr>
          <w:ilvl w:val="0"/>
          <w:numId w:val="57"/>
        </w:num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Применение услуг Фонда по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бизнес-планированию</w:t>
      </w:r>
      <w:r w:rsidR="00F33655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403" w:rsidRPr="00DE6060" w:rsidRDefault="001E5403" w:rsidP="00CD4CE9">
      <w:pPr>
        <w:pStyle w:val="a4"/>
        <w:numPr>
          <w:ilvl w:val="0"/>
          <w:numId w:val="57"/>
        </w:numPr>
        <w:spacing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и т.д.</w:t>
      </w:r>
    </w:p>
    <w:p w:rsidR="001E5403" w:rsidRPr="00DE6060" w:rsidRDefault="006259D5" w:rsidP="006259D5">
      <w:pPr>
        <w:tabs>
          <w:tab w:val="left" w:pos="1292"/>
        </w:tabs>
        <w:spacing w:after="0" w:line="234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E5403" w:rsidRPr="00DE6060">
        <w:rPr>
          <w:rFonts w:ascii="Times New Roman" w:eastAsia="Times New Roman" w:hAnsi="Times New Roman" w:cs="Times New Roman"/>
          <w:sz w:val="24"/>
          <w:szCs w:val="24"/>
        </w:rPr>
        <w:t xml:space="preserve">учетом указанного, </w:t>
      </w:r>
      <w:r w:rsidR="00F33655" w:rsidRPr="00DE6060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сформулированные Программой </w:t>
      </w:r>
      <w:r w:rsidR="00F33655" w:rsidRPr="00DE6060">
        <w:rPr>
          <w:rFonts w:ascii="Times New Roman" w:hAnsi="Times New Roman" w:cs="Times New Roman"/>
          <w:sz w:val="24"/>
          <w:szCs w:val="24"/>
        </w:rPr>
        <w:t>цели</w:t>
      </w:r>
      <w:r w:rsidR="001E5403" w:rsidRPr="00DE6060">
        <w:rPr>
          <w:rFonts w:ascii="Times New Roman" w:hAnsi="Times New Roman" w:cs="Times New Roman"/>
          <w:sz w:val="24"/>
          <w:szCs w:val="24"/>
        </w:rPr>
        <w:t xml:space="preserve"> деятельности Фонда</w:t>
      </w:r>
      <w:r w:rsidR="00F33655" w:rsidRPr="00DE6060">
        <w:rPr>
          <w:rFonts w:ascii="Times New Roman" w:hAnsi="Times New Roman" w:cs="Times New Roman"/>
          <w:sz w:val="24"/>
          <w:szCs w:val="24"/>
        </w:rPr>
        <w:t xml:space="preserve"> в трёхлетнем периоде</w:t>
      </w:r>
      <w:r w:rsidR="001E5403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F33655" w:rsidRPr="00DE6060">
        <w:rPr>
          <w:rFonts w:ascii="Times New Roman" w:hAnsi="Times New Roman" w:cs="Times New Roman"/>
          <w:sz w:val="24"/>
          <w:szCs w:val="24"/>
        </w:rPr>
        <w:t>достигнуты</w:t>
      </w:r>
      <w:r w:rsidR="001E5403" w:rsidRPr="00DE6060">
        <w:rPr>
          <w:rFonts w:ascii="Times New Roman" w:hAnsi="Times New Roman" w:cs="Times New Roman"/>
          <w:sz w:val="24"/>
          <w:szCs w:val="24"/>
        </w:rPr>
        <w:t>:</w:t>
      </w:r>
    </w:p>
    <w:p w:rsidR="001E5403" w:rsidRPr="00DE6060" w:rsidRDefault="001E5403" w:rsidP="001E5403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0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33655" w:rsidRPr="00DE6060">
        <w:rPr>
          <w:rFonts w:ascii="Times New Roman" w:hAnsi="Times New Roman" w:cs="Times New Roman"/>
          <w:bCs/>
          <w:sz w:val="24"/>
          <w:szCs w:val="24"/>
        </w:rPr>
        <w:t xml:space="preserve">осуществлялась, планомерно дополнялась различными мерами </w:t>
      </w:r>
      <w:r w:rsidRPr="00DE6060">
        <w:rPr>
          <w:rFonts w:ascii="Times New Roman" w:hAnsi="Times New Roman" w:cs="Times New Roman"/>
          <w:bCs/>
          <w:sz w:val="24"/>
          <w:szCs w:val="24"/>
        </w:rPr>
        <w:t xml:space="preserve">поддержка и </w:t>
      </w:r>
      <w:r w:rsidR="00F33655" w:rsidRPr="00DE6060">
        <w:rPr>
          <w:rFonts w:ascii="Times New Roman" w:hAnsi="Times New Roman" w:cs="Times New Roman"/>
          <w:bCs/>
          <w:sz w:val="24"/>
          <w:szCs w:val="24"/>
        </w:rPr>
        <w:t xml:space="preserve">осуществлялось </w:t>
      </w:r>
      <w:r w:rsidRPr="00DE6060">
        <w:rPr>
          <w:rFonts w:ascii="Times New Roman" w:hAnsi="Times New Roman" w:cs="Times New Roman"/>
          <w:bCs/>
          <w:sz w:val="24"/>
          <w:szCs w:val="24"/>
        </w:rPr>
        <w:t xml:space="preserve">развитие малого и среднего предпринимательства на территории Чукотского автономного округа, </w:t>
      </w:r>
      <w:r w:rsidR="00F33655" w:rsidRPr="00DE6060">
        <w:rPr>
          <w:rFonts w:ascii="Times New Roman" w:hAnsi="Times New Roman" w:cs="Times New Roman"/>
          <w:bCs/>
          <w:sz w:val="24"/>
          <w:szCs w:val="24"/>
        </w:rPr>
        <w:t xml:space="preserve">посредством координации и тесного взаимодействия Фонда с кредитными организациями, фондами, институтами развития федерального уровня осуществлялось </w:t>
      </w:r>
      <w:r w:rsidRPr="00DE6060">
        <w:rPr>
          <w:rFonts w:ascii="Times New Roman" w:hAnsi="Times New Roman" w:cs="Times New Roman"/>
          <w:bCs/>
          <w:sz w:val="24"/>
          <w:szCs w:val="24"/>
        </w:rPr>
        <w:t>обеспечение доступа субъектов малого и среднего предпринимательства Чукотского автономного округа к кредитным и иным финансовым ресурсам, а также развитие системы гарантий и поручительств по обязательствам субъектов малого и среднего предпринимательства и организаций инфраструктуры  поддержки субъектов малого и среднего предпринимательства, основанных на кредитных договорах, договорах займа и лизинга;</w:t>
      </w:r>
    </w:p>
    <w:p w:rsidR="001E5403" w:rsidRPr="00DE6060" w:rsidRDefault="001E5403" w:rsidP="001E5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33655" w:rsidRPr="00DE6060">
        <w:rPr>
          <w:rFonts w:ascii="Times New Roman" w:hAnsi="Times New Roman" w:cs="Times New Roman"/>
          <w:bCs/>
          <w:sz w:val="24"/>
          <w:szCs w:val="24"/>
        </w:rPr>
        <w:t xml:space="preserve">осуществлено стабильное </w:t>
      </w:r>
      <w:r w:rsidRPr="00DE6060">
        <w:rPr>
          <w:rFonts w:ascii="Times New Roman" w:hAnsi="Times New Roman" w:cs="Times New Roman"/>
          <w:bCs/>
          <w:sz w:val="24"/>
          <w:szCs w:val="24"/>
        </w:rPr>
        <w:t>формирование имущества Фонда на основе имущества, переданного учредителями Фонда, бюджетных ассигнований, предоставленных Фонду</w:t>
      </w:r>
      <w:r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hAnsi="Times New Roman" w:cs="Times New Roman"/>
          <w:bCs/>
          <w:sz w:val="24"/>
          <w:szCs w:val="24"/>
        </w:rPr>
        <w:t>из окружного бюджета</w:t>
      </w:r>
      <w:r w:rsidRPr="00DE606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</w:t>
      </w:r>
      <w:r w:rsidRPr="00DE60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6060">
        <w:rPr>
          <w:rFonts w:ascii="Times New Roman" w:hAnsi="Times New Roman" w:cs="Times New Roman"/>
          <w:sz w:val="24"/>
          <w:szCs w:val="24"/>
        </w:rPr>
        <w:t xml:space="preserve">доходов, получаемых Фондом от использования собственности и его средств, </w:t>
      </w:r>
      <w:r w:rsidRPr="00DE6060">
        <w:rPr>
          <w:rFonts w:ascii="Times New Roman" w:hAnsi="Times New Roman" w:cs="Times New Roman"/>
          <w:bCs/>
          <w:sz w:val="24"/>
          <w:szCs w:val="24"/>
        </w:rPr>
        <w:t xml:space="preserve">добровольных имущественных взносов, </w:t>
      </w:r>
      <w:r w:rsidRPr="00DE6060">
        <w:rPr>
          <w:rFonts w:ascii="Times New Roman" w:hAnsi="Times New Roman" w:cs="Times New Roman"/>
          <w:sz w:val="24"/>
          <w:szCs w:val="24"/>
        </w:rPr>
        <w:t>пожертвований и</w:t>
      </w:r>
      <w:r w:rsidRPr="00DE6060">
        <w:rPr>
          <w:rFonts w:ascii="Times New Roman" w:hAnsi="Times New Roman" w:cs="Times New Roman"/>
          <w:bCs/>
          <w:sz w:val="24"/>
          <w:szCs w:val="24"/>
        </w:rPr>
        <w:t xml:space="preserve"> иных не запрещенных </w:t>
      </w:r>
      <w:r w:rsidRPr="00DE606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поступлений в целях использования этого имущества для решения</w:t>
      </w:r>
      <w:r w:rsidRPr="00DE6060">
        <w:rPr>
          <w:rFonts w:ascii="Times New Roman" w:hAnsi="Times New Roman" w:cs="Times New Roman"/>
          <w:bCs/>
          <w:sz w:val="24"/>
          <w:szCs w:val="24"/>
        </w:rPr>
        <w:t xml:space="preserve"> задач социально-экономического развития </w:t>
      </w:r>
      <w:r w:rsidRPr="00DE6060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  <w:r w:rsidR="00F33655" w:rsidRPr="00DE6060">
        <w:rPr>
          <w:rFonts w:ascii="Times New Roman" w:hAnsi="Times New Roman" w:cs="Times New Roman"/>
          <w:sz w:val="24"/>
          <w:szCs w:val="24"/>
        </w:rPr>
        <w:t>. Сверх запланированных на этапе утверждения Программы деятельности Фонда с 2018 года планомерно привлекаются целевые средства федерального бюджета в целях обеспечения организации мероприятий, образовательных услуг, услуг сторонних экспертов и т.п.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1E5403" w:rsidRPr="00DE6060" w:rsidRDefault="001E5403" w:rsidP="001E540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- </w:t>
      </w:r>
      <w:r w:rsidR="00C8674F" w:rsidRPr="00DE6060">
        <w:rPr>
          <w:rFonts w:ascii="Times New Roman" w:hAnsi="Times New Roman" w:cs="Times New Roman"/>
          <w:sz w:val="24"/>
          <w:szCs w:val="24"/>
        </w:rPr>
        <w:t xml:space="preserve">планомерно, с учетом индивидуальных потребностей инициаторов осуществлялась </w:t>
      </w:r>
      <w:r w:rsidRPr="00DE6060">
        <w:rPr>
          <w:rFonts w:ascii="Times New Roman" w:hAnsi="Times New Roman" w:cs="Times New Roman"/>
          <w:sz w:val="24"/>
          <w:szCs w:val="24"/>
        </w:rPr>
        <w:t>финансовая и нефинансовая поддержка инвесторов, реализующих на территории Чукотского автономного округа инвестиционные проекты, в соответствии с приоритетами социально-экономического развития Чукотского автономного округа</w:t>
      </w:r>
      <w:r w:rsidR="00C8674F" w:rsidRPr="00DE6060">
        <w:rPr>
          <w:rFonts w:ascii="Times New Roman" w:hAnsi="Times New Roman" w:cs="Times New Roman"/>
          <w:sz w:val="24"/>
          <w:szCs w:val="24"/>
        </w:rPr>
        <w:t xml:space="preserve"> посредством координации по существующим мерам государственной поддержки на уровне региона, оказания содействия в формировании бизнес-планов и сопутствующих пакетов документов для получения статуса резидента особых экономических зон, совместно с инициаторами, органами власти и иными заинтересованными лицами подготовлен ряд инициативных документов о рассмотрении возможности внесения изменений в законодательство по ряду вопросов</w:t>
      </w:r>
      <w:r w:rsidRPr="00DE60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5403" w:rsidRPr="00DE6060" w:rsidRDefault="001E5403" w:rsidP="001E5403">
      <w:pPr>
        <w:pStyle w:val="s1"/>
        <w:ind w:firstLine="540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- </w:t>
      </w:r>
      <w:r w:rsidR="00C8674F" w:rsidRPr="00DE6060">
        <w:rPr>
          <w:rFonts w:ascii="Times New Roman" w:hAnsi="Times New Roman" w:cs="Times New Roman"/>
          <w:sz w:val="24"/>
          <w:szCs w:val="24"/>
        </w:rPr>
        <w:t xml:space="preserve">осуществлялись мероприятия направленные на </w:t>
      </w:r>
      <w:r w:rsidRPr="00DE6060">
        <w:rPr>
          <w:rFonts w:ascii="Times New Roman" w:hAnsi="Times New Roman" w:cs="Times New Roman"/>
          <w:sz w:val="24"/>
          <w:szCs w:val="24"/>
        </w:rPr>
        <w:t xml:space="preserve">повышение инвестиционной привлекательности Чукотского автономного округа и создание благоприятных условий для развития </w:t>
      </w:r>
      <w:r w:rsidRPr="00675C8C">
        <w:rPr>
          <w:rFonts w:ascii="Times New Roman" w:hAnsi="Times New Roman" w:cs="Times New Roman"/>
          <w:sz w:val="24"/>
          <w:szCs w:val="24"/>
        </w:rPr>
        <w:t>инвестиционной деятельности в округе</w:t>
      </w:r>
      <w:r w:rsidR="00C8674F" w:rsidRPr="00675C8C">
        <w:rPr>
          <w:rFonts w:ascii="Times New Roman" w:hAnsi="Times New Roman" w:cs="Times New Roman"/>
          <w:sz w:val="24"/>
          <w:szCs w:val="24"/>
        </w:rPr>
        <w:t xml:space="preserve">, в т.ч. Фонд </w:t>
      </w:r>
      <w:r w:rsidR="00675C8C" w:rsidRPr="00675C8C">
        <w:rPr>
          <w:rFonts w:ascii="Times New Roman" w:hAnsi="Times New Roman" w:cs="Times New Roman"/>
          <w:sz w:val="24"/>
          <w:szCs w:val="24"/>
        </w:rPr>
        <w:t xml:space="preserve">выступил </w:t>
      </w:r>
      <w:proofErr w:type="spellStart"/>
      <w:r w:rsidR="00675C8C" w:rsidRPr="00675C8C"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 w:rsidR="00C8674F" w:rsidRPr="00675C8C">
        <w:rPr>
          <w:rFonts w:ascii="Times New Roman" w:hAnsi="Times New Roman" w:cs="Times New Roman"/>
          <w:sz w:val="24"/>
          <w:szCs w:val="24"/>
        </w:rPr>
        <w:t xml:space="preserve"> в подготовке участия</w:t>
      </w:r>
      <w:r w:rsidR="00C8674F" w:rsidRPr="00DE6060">
        <w:rPr>
          <w:rFonts w:ascii="Times New Roman" w:hAnsi="Times New Roman" w:cs="Times New Roman"/>
          <w:sz w:val="24"/>
          <w:szCs w:val="24"/>
        </w:rPr>
        <w:t xml:space="preserve"> представителей региона в ряде форумов и конференций, осуществлялось позиционирование инвестиционных предложений региона на федеральных презентационных площадках для целей привлечения инвесторов в потенциальные объекты вложений и работающие проекты, осуществлялось планомерное размещение </w:t>
      </w:r>
      <w:r w:rsidR="00675C8C">
        <w:rPr>
          <w:rFonts w:ascii="Times New Roman" w:hAnsi="Times New Roman" w:cs="Times New Roman"/>
          <w:sz w:val="24"/>
          <w:szCs w:val="24"/>
        </w:rPr>
        <w:t>статей</w:t>
      </w:r>
      <w:r w:rsidR="00C8674F" w:rsidRPr="00DE606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</w:t>
      </w:r>
      <w:r w:rsidR="00675C8C">
        <w:rPr>
          <w:rFonts w:ascii="Times New Roman" w:hAnsi="Times New Roman" w:cs="Times New Roman"/>
          <w:sz w:val="24"/>
          <w:szCs w:val="24"/>
        </w:rPr>
        <w:t>,</w:t>
      </w:r>
      <w:r w:rsidR="00C8674F" w:rsidRPr="00DE6060">
        <w:rPr>
          <w:rFonts w:ascii="Times New Roman" w:hAnsi="Times New Roman" w:cs="Times New Roman"/>
          <w:sz w:val="24"/>
          <w:szCs w:val="24"/>
        </w:rPr>
        <w:t xml:space="preserve"> как посредством собственных информационных ресурсов, так и с привлечением федеральных партнёров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1969A8" w:rsidRPr="00DE6060" w:rsidRDefault="001E5403" w:rsidP="001969A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- </w:t>
      </w:r>
      <w:r w:rsidR="00C8674F" w:rsidRPr="00DE6060">
        <w:rPr>
          <w:rFonts w:ascii="Times New Roman" w:hAnsi="Times New Roman" w:cs="Times New Roman"/>
          <w:sz w:val="24"/>
          <w:szCs w:val="24"/>
        </w:rPr>
        <w:t>осуществлялось участие в создании на региональном уровне</w:t>
      </w:r>
      <w:r w:rsidRPr="00DE6060">
        <w:rPr>
          <w:rFonts w:ascii="Times New Roman" w:hAnsi="Times New Roman" w:cs="Times New Roman"/>
          <w:sz w:val="24"/>
          <w:szCs w:val="24"/>
        </w:rPr>
        <w:t xml:space="preserve"> организационных, правовых и финансовых механизмов, обеспечивающих реализацию на территории Чукотского автономного округа инвестиционных </w:t>
      </w:r>
      <w:r w:rsidR="00C8674F" w:rsidRPr="00DE6060">
        <w:rPr>
          <w:rFonts w:ascii="Times New Roman" w:hAnsi="Times New Roman" w:cs="Times New Roman"/>
          <w:sz w:val="24"/>
          <w:szCs w:val="24"/>
        </w:rPr>
        <w:t>проектов, осуществляемых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на принципах государственно-частного партнерства</w:t>
      </w:r>
      <w:r w:rsidR="00C8674F" w:rsidRPr="00DE6060">
        <w:rPr>
          <w:rFonts w:ascii="Times New Roman" w:hAnsi="Times New Roman" w:cs="Times New Roman"/>
          <w:sz w:val="24"/>
          <w:szCs w:val="24"/>
        </w:rPr>
        <w:t>. Реализован при поддержке Фонда один проект, имеющий статус резидента ТОР «Чукотка»</w:t>
      </w:r>
      <w:r w:rsidRPr="00DE6060">
        <w:rPr>
          <w:rFonts w:ascii="Times New Roman" w:hAnsi="Times New Roman" w:cs="Times New Roman"/>
          <w:sz w:val="24"/>
          <w:szCs w:val="24"/>
        </w:rPr>
        <w:t>.</w:t>
      </w:r>
    </w:p>
    <w:p w:rsidR="001969A8" w:rsidRPr="00DE6060" w:rsidRDefault="001969A8" w:rsidP="00A06191">
      <w:pPr>
        <w:tabs>
          <w:tab w:val="left" w:pos="1292"/>
        </w:tabs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В своей деятельности Фонд </w:t>
      </w:r>
      <w:r w:rsidR="00ED6E5C" w:rsidRPr="00DE6060">
        <w:rPr>
          <w:rFonts w:ascii="Times New Roman" w:hAnsi="Times New Roman" w:cs="Times New Roman"/>
          <w:sz w:val="24"/>
          <w:szCs w:val="24"/>
        </w:rPr>
        <w:t>руководствовался</w:t>
      </w:r>
      <w:r w:rsidRPr="00DE6060">
        <w:rPr>
          <w:rFonts w:ascii="Times New Roman" w:hAnsi="Times New Roman" w:cs="Times New Roman"/>
          <w:sz w:val="24"/>
          <w:szCs w:val="24"/>
        </w:rPr>
        <w:t>:</w:t>
      </w:r>
    </w:p>
    <w:p w:rsidR="001969A8" w:rsidRPr="00DE6060" w:rsidRDefault="001969A8" w:rsidP="00CD4CE9">
      <w:pPr>
        <w:pStyle w:val="a4"/>
        <w:numPr>
          <w:ilvl w:val="0"/>
          <w:numId w:val="58"/>
        </w:numPr>
        <w:tabs>
          <w:tab w:val="left" w:pos="1292"/>
        </w:tabs>
        <w:spacing w:after="0" w:line="23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нормативными актами</w:t>
      </w:r>
      <w:r w:rsidR="00B6346B" w:rsidRPr="00DE6060">
        <w:rPr>
          <w:rFonts w:ascii="Times New Roman" w:hAnsi="Times New Roman" w:cs="Times New Roman"/>
          <w:sz w:val="24"/>
          <w:szCs w:val="24"/>
        </w:rPr>
        <w:t xml:space="preserve"> и государственными программами</w:t>
      </w:r>
      <w:r w:rsidRPr="00DE6060">
        <w:rPr>
          <w:rFonts w:ascii="Times New Roman" w:hAnsi="Times New Roman" w:cs="Times New Roman"/>
          <w:sz w:val="24"/>
          <w:szCs w:val="24"/>
        </w:rPr>
        <w:t xml:space="preserve"> уровня Российской Федерации;</w:t>
      </w:r>
    </w:p>
    <w:p w:rsidR="001969A8" w:rsidRPr="00DE6060" w:rsidRDefault="001969A8" w:rsidP="00CD4CE9">
      <w:pPr>
        <w:pStyle w:val="a4"/>
        <w:numPr>
          <w:ilvl w:val="0"/>
          <w:numId w:val="58"/>
        </w:numPr>
        <w:tabs>
          <w:tab w:val="left" w:pos="1292"/>
        </w:tabs>
        <w:spacing w:after="0" w:line="23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нормативными актами</w:t>
      </w:r>
      <w:r w:rsidR="00B6346B" w:rsidRPr="00DE6060">
        <w:rPr>
          <w:rFonts w:ascii="Times New Roman" w:hAnsi="Times New Roman" w:cs="Times New Roman"/>
          <w:sz w:val="24"/>
          <w:szCs w:val="24"/>
        </w:rPr>
        <w:t xml:space="preserve"> и программами</w:t>
      </w:r>
      <w:r w:rsidRPr="00DE6060">
        <w:rPr>
          <w:rFonts w:ascii="Times New Roman" w:hAnsi="Times New Roman" w:cs="Times New Roman"/>
          <w:sz w:val="24"/>
          <w:szCs w:val="24"/>
        </w:rPr>
        <w:t xml:space="preserve"> Дальневосточного федерального округа Российской Федерации;</w:t>
      </w:r>
    </w:p>
    <w:p w:rsidR="001969A8" w:rsidRPr="00DE6060" w:rsidRDefault="001969A8" w:rsidP="00CD4CE9">
      <w:pPr>
        <w:pStyle w:val="a4"/>
        <w:numPr>
          <w:ilvl w:val="0"/>
          <w:numId w:val="58"/>
        </w:numPr>
        <w:tabs>
          <w:tab w:val="left" w:pos="1292"/>
        </w:tabs>
        <w:spacing w:after="0" w:line="23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законодательными актами</w:t>
      </w:r>
      <w:r w:rsidR="00D6269B" w:rsidRPr="00DE6060">
        <w:rPr>
          <w:rFonts w:ascii="Times New Roman" w:hAnsi="Times New Roman" w:cs="Times New Roman"/>
          <w:sz w:val="24"/>
          <w:szCs w:val="24"/>
        </w:rPr>
        <w:t>, программами</w:t>
      </w:r>
      <w:r w:rsidRPr="00DE6060">
        <w:rPr>
          <w:rFonts w:ascii="Times New Roman" w:hAnsi="Times New Roman" w:cs="Times New Roman"/>
          <w:sz w:val="24"/>
          <w:szCs w:val="24"/>
        </w:rPr>
        <w:t xml:space="preserve"> и распорядительными документами Чукотского автономного округа;</w:t>
      </w:r>
    </w:p>
    <w:p w:rsidR="001969A8" w:rsidRPr="00DE6060" w:rsidRDefault="001969A8" w:rsidP="00CD4CE9">
      <w:pPr>
        <w:pStyle w:val="a4"/>
        <w:numPr>
          <w:ilvl w:val="0"/>
          <w:numId w:val="58"/>
        </w:numPr>
        <w:tabs>
          <w:tab w:val="left" w:pos="1292"/>
        </w:tabs>
        <w:spacing w:after="0" w:line="23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Уставом Фонда;</w:t>
      </w:r>
    </w:p>
    <w:p w:rsidR="001845B5" w:rsidRPr="00DE6060" w:rsidRDefault="001845B5" w:rsidP="00CD4CE9">
      <w:pPr>
        <w:pStyle w:val="a4"/>
        <w:numPr>
          <w:ilvl w:val="0"/>
          <w:numId w:val="58"/>
        </w:numPr>
        <w:tabs>
          <w:tab w:val="left" w:pos="1292"/>
        </w:tabs>
        <w:spacing w:after="0" w:line="23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Интересами целевой аудитории Фонда в части совершенствования инвестиционного климата в Чукотском автономном округе и ростом комфорта социальной среды;</w:t>
      </w:r>
    </w:p>
    <w:p w:rsidR="001969A8" w:rsidRPr="00DE6060" w:rsidRDefault="001969A8" w:rsidP="00CD4CE9">
      <w:pPr>
        <w:pStyle w:val="a4"/>
        <w:numPr>
          <w:ilvl w:val="0"/>
          <w:numId w:val="58"/>
        </w:numPr>
        <w:tabs>
          <w:tab w:val="left" w:pos="1292"/>
        </w:tabs>
        <w:spacing w:after="0" w:line="23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экономическими прогнозами и практикой России и иных государств.</w:t>
      </w:r>
    </w:p>
    <w:p w:rsidR="00DD68CC" w:rsidRPr="00DE6060" w:rsidRDefault="00DD68CC" w:rsidP="00537D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248" w:rsidRPr="00DE6060" w:rsidRDefault="00563248" w:rsidP="00537D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0">
        <w:rPr>
          <w:rFonts w:ascii="Times New Roman" w:hAnsi="Times New Roman" w:cs="Times New Roman"/>
          <w:b/>
          <w:sz w:val="24"/>
          <w:szCs w:val="24"/>
        </w:rPr>
        <w:t>1.1.</w:t>
      </w:r>
      <w:r w:rsidR="00BF0871" w:rsidRPr="00DE6060">
        <w:rPr>
          <w:rFonts w:ascii="Times New Roman" w:hAnsi="Times New Roman" w:cs="Times New Roman"/>
          <w:b/>
          <w:sz w:val="24"/>
          <w:szCs w:val="24"/>
        </w:rPr>
        <w:t>1.</w:t>
      </w:r>
      <w:r w:rsidRPr="00DE6060">
        <w:rPr>
          <w:rFonts w:ascii="Times New Roman" w:hAnsi="Times New Roman" w:cs="Times New Roman"/>
          <w:b/>
          <w:sz w:val="24"/>
          <w:szCs w:val="24"/>
        </w:rPr>
        <w:t xml:space="preserve"> Государственная программа социально-экономического развития субъектов Дальнего Востока.</w:t>
      </w:r>
    </w:p>
    <w:p w:rsidR="00563248" w:rsidRPr="00DE6060" w:rsidRDefault="00563248" w:rsidP="00537D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42A" w:rsidRPr="00DE6060" w:rsidRDefault="00EB7993" w:rsidP="00537D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Постановлением №308 от 15.04.2014г утвердило </w:t>
      </w:r>
      <w:hyperlink w:anchor="P33" w:history="1">
        <w:r w:rsidR="009562B9" w:rsidRPr="00DE6060">
          <w:rPr>
            <w:rFonts w:ascii="Times New Roman" w:hAnsi="Times New Roman" w:cs="Times New Roman"/>
            <w:sz w:val="24"/>
            <w:szCs w:val="24"/>
          </w:rPr>
          <w:t>государственную программу</w:t>
        </w:r>
      </w:hyperlink>
      <w:r w:rsidR="009562B9" w:rsidRPr="00DE6060">
        <w:rPr>
          <w:rFonts w:ascii="Times New Roman" w:hAnsi="Times New Roman" w:cs="Times New Roman"/>
          <w:sz w:val="24"/>
          <w:szCs w:val="24"/>
        </w:rPr>
        <w:t xml:space="preserve"> Российской Федерации "Социально-экономическое развитие Дальнего Востока и Байкальского региона".</w:t>
      </w:r>
      <w:r w:rsidR="001148A4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187513" w:rsidRPr="00DE6060">
        <w:rPr>
          <w:rFonts w:ascii="Times New Roman" w:hAnsi="Times New Roman" w:cs="Times New Roman"/>
          <w:sz w:val="24"/>
          <w:szCs w:val="24"/>
        </w:rPr>
        <w:t>Основное мероприятие государственной программы — это</w:t>
      </w:r>
      <w:r w:rsidR="001148A4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316D59" w:rsidRPr="00DE6060">
        <w:rPr>
          <w:rFonts w:ascii="Times New Roman" w:hAnsi="Times New Roman" w:cs="Times New Roman"/>
          <w:sz w:val="24"/>
          <w:szCs w:val="24"/>
        </w:rPr>
        <w:t>"Продвижение экспортных и инвестиционных возможностей регионов Дальнего Востока, в том числе новых инструментов экономической политики на Дальнем Востоке"</w:t>
      </w:r>
      <w:r w:rsidR="001148A4" w:rsidRPr="00DE60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42A" w:rsidRPr="00DE6060" w:rsidRDefault="001845B5" w:rsidP="00537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Цели Фонда с</w:t>
      </w:r>
      <w:r w:rsidR="00993A34" w:rsidRPr="00DE6060">
        <w:rPr>
          <w:rFonts w:ascii="Times New Roman" w:hAnsi="Times New Roman" w:cs="Times New Roman"/>
          <w:sz w:val="24"/>
          <w:szCs w:val="24"/>
        </w:rPr>
        <w:t>оответствуют</w:t>
      </w:r>
      <w:r w:rsidRPr="00DE6060">
        <w:rPr>
          <w:rFonts w:ascii="Times New Roman" w:hAnsi="Times New Roman" w:cs="Times New Roman"/>
          <w:sz w:val="24"/>
          <w:szCs w:val="24"/>
        </w:rPr>
        <w:t xml:space="preserve"> ц</w:t>
      </w:r>
      <w:r w:rsidR="0008242A" w:rsidRPr="00DE6060">
        <w:rPr>
          <w:rFonts w:ascii="Times New Roman" w:hAnsi="Times New Roman" w:cs="Times New Roman"/>
          <w:sz w:val="24"/>
          <w:szCs w:val="24"/>
        </w:rPr>
        <w:t>елям</w:t>
      </w:r>
      <w:r w:rsidRPr="00DE6060">
        <w:rPr>
          <w:rFonts w:ascii="Times New Roman" w:hAnsi="Times New Roman" w:cs="Times New Roman"/>
          <w:sz w:val="24"/>
          <w:szCs w:val="24"/>
        </w:rPr>
        <w:t xml:space="preserve"> государственной программы, которые </w:t>
      </w:r>
      <w:r w:rsidR="00993A34" w:rsidRPr="00DE6060">
        <w:rPr>
          <w:rFonts w:ascii="Times New Roman" w:hAnsi="Times New Roman" w:cs="Times New Roman"/>
          <w:sz w:val="24"/>
          <w:szCs w:val="24"/>
        </w:rPr>
        <w:t xml:space="preserve">в свою очередь </w:t>
      </w:r>
      <w:r w:rsidRPr="00DE6060">
        <w:rPr>
          <w:rFonts w:ascii="Times New Roman" w:hAnsi="Times New Roman" w:cs="Times New Roman"/>
          <w:sz w:val="24"/>
          <w:szCs w:val="24"/>
        </w:rPr>
        <w:t>содержат</w:t>
      </w:r>
      <w:r w:rsidR="0008242A" w:rsidRPr="00DE6060">
        <w:rPr>
          <w:rFonts w:ascii="Times New Roman" w:hAnsi="Times New Roman" w:cs="Times New Roman"/>
          <w:sz w:val="24"/>
          <w:szCs w:val="24"/>
        </w:rPr>
        <w:t>:</w:t>
      </w:r>
    </w:p>
    <w:p w:rsidR="0008242A" w:rsidRPr="00DE6060" w:rsidRDefault="0008242A" w:rsidP="00CD4CE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повышение уровня социально-экономического развития Дальнего Востока и Байкальского региона;</w:t>
      </w:r>
    </w:p>
    <w:p w:rsidR="0008242A" w:rsidRPr="00DE6060" w:rsidRDefault="0008242A" w:rsidP="00CD4CE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обеспечение потребности в трудовых ресурсах и закрепление населения на Дальнем Востоке</w:t>
      </w:r>
      <w:r w:rsidR="007E7030" w:rsidRPr="00DE6060">
        <w:rPr>
          <w:rFonts w:ascii="Times New Roman" w:hAnsi="Times New Roman" w:cs="Times New Roman"/>
          <w:sz w:val="24"/>
          <w:szCs w:val="24"/>
        </w:rPr>
        <w:t>.</w:t>
      </w:r>
    </w:p>
    <w:p w:rsidR="00537D72" w:rsidRPr="00DE6060" w:rsidRDefault="00537D72" w:rsidP="00537D7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7A7" w:rsidRPr="00DE6060" w:rsidRDefault="00C8674F" w:rsidP="009941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Фонд при</w:t>
      </w:r>
      <w:r w:rsidR="004362D2" w:rsidRPr="00DE6060">
        <w:rPr>
          <w:rFonts w:ascii="Times New Roman" w:hAnsi="Times New Roman" w:cs="Times New Roman"/>
          <w:sz w:val="24"/>
          <w:szCs w:val="24"/>
        </w:rPr>
        <w:t>н</w:t>
      </w:r>
      <w:r w:rsidRPr="00DE6060">
        <w:rPr>
          <w:rFonts w:ascii="Times New Roman" w:hAnsi="Times New Roman" w:cs="Times New Roman"/>
          <w:sz w:val="24"/>
          <w:szCs w:val="24"/>
        </w:rPr>
        <w:t>ял</w:t>
      </w:r>
      <w:r w:rsidR="00243AAB" w:rsidRPr="00DE6060">
        <w:rPr>
          <w:rFonts w:ascii="Times New Roman" w:hAnsi="Times New Roman" w:cs="Times New Roman"/>
          <w:sz w:val="24"/>
          <w:szCs w:val="24"/>
        </w:rPr>
        <w:t xml:space="preserve"> максимальные усилия по внесению вклада в о</w:t>
      </w:r>
      <w:r w:rsidR="00537D72" w:rsidRPr="00DE6060">
        <w:rPr>
          <w:rFonts w:ascii="Times New Roman" w:hAnsi="Times New Roman" w:cs="Times New Roman"/>
          <w:sz w:val="24"/>
          <w:szCs w:val="24"/>
        </w:rPr>
        <w:t xml:space="preserve">жидаемые результаты реализации государственной </w:t>
      </w:r>
      <w:r w:rsidR="00ED6E5C" w:rsidRPr="00DE6060">
        <w:rPr>
          <w:rFonts w:ascii="Times New Roman" w:hAnsi="Times New Roman" w:cs="Times New Roman"/>
          <w:sz w:val="24"/>
          <w:szCs w:val="24"/>
        </w:rPr>
        <w:t>Программы, в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 т.ч. посредством:</w:t>
      </w:r>
    </w:p>
    <w:p w:rsidR="004757A7" w:rsidRPr="00DE6060" w:rsidRDefault="004757A7" w:rsidP="002043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722CB" w:rsidRPr="00DE6060" w:rsidRDefault="006722CB" w:rsidP="00CD4CE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Подпрограмма 1 "Создание условий для опережающего социально-экономического развития Дальневосточного федерального округа"</w:t>
      </w:r>
      <w:r w:rsidR="00455916" w:rsidRPr="00DE6060">
        <w:rPr>
          <w:rFonts w:ascii="Times New Roman" w:hAnsi="Times New Roman" w:cs="Times New Roman"/>
          <w:sz w:val="24"/>
          <w:szCs w:val="24"/>
        </w:rPr>
        <w:t>, в т.ч.:</w:t>
      </w:r>
    </w:p>
    <w:p w:rsidR="005B0A3C" w:rsidRPr="00DE6060" w:rsidRDefault="005B0A3C" w:rsidP="00CD4CE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Основное мероприятие 1.1 "Создание и развитие территорий опережающего социально-экономического развития в Дальневосточном федеральном округе"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 – при содействии Фонда на 31.12.2019г ТОР «Чукотка» наполнена инвестиционными проектами в количестве 51 резидент</w:t>
      </w:r>
      <w:r w:rsidR="004F6E43">
        <w:rPr>
          <w:rFonts w:ascii="Times New Roman" w:hAnsi="Times New Roman" w:cs="Times New Roman"/>
          <w:sz w:val="24"/>
          <w:szCs w:val="24"/>
        </w:rPr>
        <w:t>а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. Помимо привлечения резидентов ТОР, Фонд оказывал планомерно правовую поддержку и бизнес-планирование изменяемых параметров инвестиционных проектов на протяжении </w:t>
      </w:r>
      <w:r w:rsidR="004362D2" w:rsidRPr="00DE6060">
        <w:rPr>
          <w:rFonts w:ascii="Times New Roman" w:hAnsi="Times New Roman" w:cs="Times New Roman"/>
          <w:sz w:val="24"/>
          <w:szCs w:val="24"/>
        </w:rPr>
        <w:t xml:space="preserve">их </w:t>
      </w:r>
      <w:r w:rsidR="003A3A2B" w:rsidRPr="00DE6060">
        <w:rPr>
          <w:rFonts w:ascii="Times New Roman" w:hAnsi="Times New Roman" w:cs="Times New Roman"/>
          <w:sz w:val="24"/>
          <w:szCs w:val="24"/>
        </w:rPr>
        <w:t>реализации</w:t>
      </w:r>
      <w:r w:rsidR="00455916" w:rsidRPr="00DE6060">
        <w:rPr>
          <w:rFonts w:ascii="Times New Roman" w:hAnsi="Times New Roman" w:cs="Times New Roman"/>
          <w:sz w:val="24"/>
          <w:szCs w:val="24"/>
        </w:rPr>
        <w:t>;</w:t>
      </w:r>
    </w:p>
    <w:p w:rsidR="005B0A3C" w:rsidRPr="00DE6060" w:rsidRDefault="005B0A3C" w:rsidP="00CD4CE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Основное мероприятие 1.2 "Развитие свободного порта Владивосток"</w:t>
      </w:r>
      <w:r w:rsidR="003A3A2B" w:rsidRPr="00DE6060">
        <w:rPr>
          <w:rFonts w:ascii="Times New Roman" w:hAnsi="Times New Roman" w:cs="Times New Roman"/>
          <w:sz w:val="24"/>
          <w:szCs w:val="24"/>
        </w:rPr>
        <w:t>– при содействии Фонда на 31.12.2019г</w:t>
      </w:r>
      <w:r w:rsidR="004F6E43">
        <w:rPr>
          <w:rFonts w:ascii="Times New Roman" w:hAnsi="Times New Roman" w:cs="Times New Roman"/>
          <w:sz w:val="24"/>
          <w:szCs w:val="24"/>
        </w:rPr>
        <w:t xml:space="preserve"> </w:t>
      </w:r>
      <w:r w:rsidR="003A3A2B" w:rsidRPr="00DE6060">
        <w:rPr>
          <w:rFonts w:ascii="Times New Roman" w:hAnsi="Times New Roman" w:cs="Times New Roman"/>
          <w:sz w:val="24"/>
          <w:szCs w:val="24"/>
        </w:rPr>
        <w:t>Свободный порт Владивосток в кадастровых кварталах ГО Певек наполнен инвестиционными проектами в количестве 7 резидентов.</w:t>
      </w:r>
      <w:r w:rsidR="004362D2" w:rsidRPr="00DE6060">
        <w:rPr>
          <w:rFonts w:ascii="Times New Roman" w:hAnsi="Times New Roman" w:cs="Times New Roman"/>
          <w:sz w:val="24"/>
          <w:szCs w:val="24"/>
        </w:rPr>
        <w:t xml:space="preserve"> Помимо привлечения резидентов СПВ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, Фонд оказывал планомерно </w:t>
      </w:r>
      <w:r w:rsidR="00193A9D" w:rsidRPr="00DE6060">
        <w:rPr>
          <w:rFonts w:ascii="Times New Roman" w:hAnsi="Times New Roman" w:cs="Times New Roman"/>
          <w:sz w:val="24"/>
          <w:szCs w:val="24"/>
        </w:rPr>
        <w:t>правовую поддержку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 и бизнес-планирование изменяемых параметров инвестиционных проектов на протяжении </w:t>
      </w:r>
      <w:r w:rsidR="004362D2" w:rsidRPr="00DE6060">
        <w:rPr>
          <w:rFonts w:ascii="Times New Roman" w:hAnsi="Times New Roman" w:cs="Times New Roman"/>
          <w:sz w:val="24"/>
          <w:szCs w:val="24"/>
        </w:rPr>
        <w:t xml:space="preserve">их </w:t>
      </w:r>
      <w:r w:rsidR="003A3A2B" w:rsidRPr="00DE6060">
        <w:rPr>
          <w:rFonts w:ascii="Times New Roman" w:hAnsi="Times New Roman" w:cs="Times New Roman"/>
          <w:sz w:val="24"/>
          <w:szCs w:val="24"/>
        </w:rPr>
        <w:t>реализации</w:t>
      </w:r>
      <w:r w:rsidR="00455916" w:rsidRPr="00DE6060">
        <w:rPr>
          <w:rFonts w:ascii="Times New Roman" w:hAnsi="Times New Roman" w:cs="Times New Roman"/>
          <w:sz w:val="24"/>
          <w:szCs w:val="24"/>
        </w:rPr>
        <w:t>;</w:t>
      </w:r>
    </w:p>
    <w:p w:rsidR="005B0A3C" w:rsidRPr="00DE6060" w:rsidRDefault="005B0A3C" w:rsidP="00CD4CE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Основное мероприятие 2.3 "Содействие реализации инвестиционных проектов на Дальнем Востоке, не требующих привлечения средств федерального бюджета"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 – осуществлялся регулярный мониторинг инвестиционных проектов на предмет потребности в софинансировании за счет средств федерального бюджета, оказывалось содействие в оформлении необходимого пакета документов, включая технико-экономическую часть</w:t>
      </w:r>
      <w:r w:rsidR="00455916" w:rsidRPr="00DE6060">
        <w:rPr>
          <w:rFonts w:ascii="Times New Roman" w:hAnsi="Times New Roman" w:cs="Times New Roman"/>
          <w:sz w:val="24"/>
          <w:szCs w:val="24"/>
        </w:rPr>
        <w:t>;</w:t>
      </w:r>
    </w:p>
    <w:p w:rsidR="005B0A3C" w:rsidRPr="00DE6060" w:rsidRDefault="005B0A3C" w:rsidP="00CD4CE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Основное мероприятие 2.4 "Реализация инвестиционных проектов на территории Дальнего Востока с участием акционерного общества "Фонд развития Дальнего Востока и Байкальского региона"</w:t>
      </w:r>
      <w:r w:rsidR="00CB562D">
        <w:rPr>
          <w:rFonts w:ascii="Times New Roman" w:hAnsi="Times New Roman" w:cs="Times New Roman"/>
          <w:sz w:val="24"/>
          <w:szCs w:val="24"/>
        </w:rPr>
        <w:t xml:space="preserve"> </w:t>
      </w:r>
      <w:r w:rsidR="003A3A2B" w:rsidRPr="00DE6060">
        <w:rPr>
          <w:rFonts w:ascii="Times New Roman" w:hAnsi="Times New Roman" w:cs="Times New Roman"/>
          <w:sz w:val="24"/>
          <w:szCs w:val="24"/>
        </w:rPr>
        <w:t>– осуществлялся регулярный мониторинг инвестиционных проектов на предмет потребности в софинансировании, оказывалось содействие в оформлении необходимого пакета документов, включая технико-экономическую часть;</w:t>
      </w:r>
    </w:p>
    <w:p w:rsidR="00632860" w:rsidRPr="00DE6060" w:rsidRDefault="00632860" w:rsidP="00CD4CE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Подпрограмма 4 "Повышение инвестиционной привлекательности Дальнего Востока"</w:t>
      </w:r>
      <w:r w:rsidR="005F4333" w:rsidRPr="00DE6060">
        <w:rPr>
          <w:rFonts w:ascii="Times New Roman" w:hAnsi="Times New Roman" w:cs="Times New Roman"/>
          <w:sz w:val="24"/>
          <w:szCs w:val="24"/>
        </w:rPr>
        <w:t>, в т.ч.:</w:t>
      </w:r>
    </w:p>
    <w:p w:rsidR="005F4333" w:rsidRPr="00DE6060" w:rsidRDefault="005F4333" w:rsidP="00CD4CE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Основное мероприятие 4.1 «Продвижение экспортных и инвестиционных возможностей регионов Дальнего Востока, в том числе новых инструментов экономической политики на Дальнем Востоке»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 - осуществлялось на регулярной основе позиционирование региона за счет подготовки презентационных материалов и их размещения на значимых площадках федерального уровня (ВЭФ, РИФ и </w:t>
      </w:r>
      <w:r w:rsidR="00193A9D" w:rsidRPr="00DE6060">
        <w:rPr>
          <w:rFonts w:ascii="Times New Roman" w:hAnsi="Times New Roman" w:cs="Times New Roman"/>
          <w:sz w:val="24"/>
          <w:szCs w:val="24"/>
        </w:rPr>
        <w:t>пр.</w:t>
      </w:r>
      <w:r w:rsidR="003A3A2B" w:rsidRPr="00DE6060">
        <w:rPr>
          <w:rFonts w:ascii="Times New Roman" w:hAnsi="Times New Roman" w:cs="Times New Roman"/>
          <w:sz w:val="24"/>
          <w:szCs w:val="24"/>
        </w:rPr>
        <w:t>).</w:t>
      </w:r>
    </w:p>
    <w:p w:rsidR="00C41F24" w:rsidRPr="00DE6060" w:rsidRDefault="00C41F24" w:rsidP="00CD4CE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Основное мероприятие 4.2 "Содействие привлечению инвестиций и развитию человеческого капитала на территории Дальнего Востока"</w:t>
      </w:r>
      <w:r w:rsidR="003A3A2B" w:rsidRPr="00DE6060">
        <w:rPr>
          <w:rFonts w:ascii="Times New Roman" w:hAnsi="Times New Roman" w:cs="Times New Roman"/>
          <w:sz w:val="24"/>
          <w:szCs w:val="24"/>
        </w:rPr>
        <w:t xml:space="preserve"> – осуществлялось взаимодействие совместно с органами власти региона, в т.ч. обмен информационными материалами и лучшими практиками. </w:t>
      </w:r>
    </w:p>
    <w:p w:rsidR="00632860" w:rsidRPr="00DE6060" w:rsidRDefault="00632860" w:rsidP="006A6B24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D68CC" w:rsidRPr="00DE6060" w:rsidRDefault="00DD68CC" w:rsidP="0020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674" w:rsidRPr="00DE6060" w:rsidRDefault="00991674" w:rsidP="0020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0">
        <w:rPr>
          <w:rFonts w:ascii="Times New Roman" w:hAnsi="Times New Roman" w:cs="Times New Roman"/>
          <w:b/>
          <w:sz w:val="24"/>
          <w:szCs w:val="24"/>
        </w:rPr>
        <w:t>1.1.2. Макроэкономические прогнозные показатели</w:t>
      </w:r>
      <w:r w:rsidR="003406F3" w:rsidRPr="00DE6060">
        <w:rPr>
          <w:rFonts w:ascii="Times New Roman" w:hAnsi="Times New Roman" w:cs="Times New Roman"/>
          <w:b/>
          <w:sz w:val="24"/>
          <w:szCs w:val="24"/>
        </w:rPr>
        <w:t xml:space="preserve"> и приоритетные направлени</w:t>
      </w:r>
      <w:r w:rsidR="00A7225F" w:rsidRPr="00DE6060">
        <w:rPr>
          <w:rFonts w:ascii="Times New Roman" w:hAnsi="Times New Roman" w:cs="Times New Roman"/>
          <w:b/>
          <w:sz w:val="24"/>
          <w:szCs w:val="24"/>
        </w:rPr>
        <w:t>я развития Российской Федерации.</w:t>
      </w:r>
    </w:p>
    <w:p w:rsidR="00991674" w:rsidRPr="00DE6060" w:rsidRDefault="00991674" w:rsidP="00204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D51" w:rsidRPr="00DE6060" w:rsidRDefault="002D7DD7" w:rsidP="00A7225F">
      <w:pPr>
        <w:spacing w:line="238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Уровень развития субъектов предпринимательства в значительной степени зависит от макроэкономической конъюнктуры, налоговой политики государства, политических, демографических и социокультурных факторов, а также от региональных и </w:t>
      </w:r>
      <w:proofErr w:type="gramStart"/>
      <w:r w:rsidRPr="00DE6060">
        <w:rPr>
          <w:rFonts w:ascii="Times New Roman" w:eastAsia="Times New Roman" w:hAnsi="Times New Roman" w:cs="Times New Roman"/>
          <w:sz w:val="24"/>
          <w:szCs w:val="24"/>
        </w:rPr>
        <w:t>местных социально-экономических условий</w:t>
      </w:r>
      <w:proofErr w:type="gramEnd"/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особенностей. </w:t>
      </w:r>
    </w:p>
    <w:p w:rsidR="002D7DD7" w:rsidRPr="00DE6060" w:rsidRDefault="002D7DD7" w:rsidP="00A7225F">
      <w:pPr>
        <w:spacing w:line="23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40D51" w:rsidRPr="00DE6060">
        <w:rPr>
          <w:rFonts w:ascii="Times New Roman" w:eastAsia="Times New Roman" w:hAnsi="Times New Roman" w:cs="Times New Roman"/>
          <w:sz w:val="24"/>
          <w:szCs w:val="24"/>
        </w:rPr>
        <w:t>планировании деятельности Фонд ориентир</w:t>
      </w:r>
      <w:r w:rsidR="008A00FD" w:rsidRPr="00DE6060">
        <w:rPr>
          <w:rFonts w:ascii="Times New Roman" w:eastAsia="Times New Roman" w:hAnsi="Times New Roman" w:cs="Times New Roman"/>
          <w:sz w:val="24"/>
          <w:szCs w:val="24"/>
        </w:rPr>
        <w:t>овался</w:t>
      </w:r>
      <w:r w:rsidR="009F2FCB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2E5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="00040D5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факторы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планирования,</w:t>
      </w:r>
      <w:r w:rsidR="00040D5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применяемые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федеральном уровне.</w:t>
      </w:r>
    </w:p>
    <w:p w:rsidR="0062061E" w:rsidRPr="00DE6060" w:rsidRDefault="0062061E" w:rsidP="00CD79EF">
      <w:pPr>
        <w:spacing w:before="120" w:after="120" w:line="20" w:lineRule="exact"/>
        <w:rPr>
          <w:rFonts w:ascii="Times New Roman" w:hAnsi="Times New Roman" w:cs="Times New Roman"/>
          <w:sz w:val="24"/>
          <w:szCs w:val="24"/>
        </w:rPr>
      </w:pPr>
    </w:p>
    <w:p w:rsidR="00B85B15" w:rsidRPr="00DE6060" w:rsidRDefault="00CD79EF" w:rsidP="00A029BF">
      <w:pPr>
        <w:pStyle w:val="a4"/>
        <w:spacing w:after="0" w:line="257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в своей работе принима</w:t>
      </w:r>
      <w:r w:rsidR="00A029BF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во внимание необходимость стимулирования спроса на инновации со стороны реального сектора экономики, что является важнейшей задачей,</w:t>
      </w:r>
      <w:r w:rsidR="00A029BF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D7DD7" w:rsidRPr="00DE6060">
        <w:rPr>
          <w:rFonts w:ascii="Times New Roman" w:eastAsia="Times New Roman" w:hAnsi="Times New Roman" w:cs="Times New Roman"/>
          <w:sz w:val="24"/>
          <w:szCs w:val="24"/>
        </w:rPr>
        <w:t>вязанной с обеспечением экон</w:t>
      </w:r>
      <w:r w:rsidR="00F93CB1" w:rsidRPr="00DE6060">
        <w:rPr>
          <w:rFonts w:ascii="Times New Roman" w:eastAsia="Times New Roman" w:hAnsi="Times New Roman" w:cs="Times New Roman"/>
          <w:sz w:val="24"/>
          <w:szCs w:val="24"/>
        </w:rPr>
        <w:t xml:space="preserve">омического роста. </w:t>
      </w:r>
      <w:r w:rsidR="002D7DD7" w:rsidRPr="00DE6060">
        <w:rPr>
          <w:rFonts w:ascii="Times New Roman" w:eastAsia="Times New Roman" w:hAnsi="Times New Roman" w:cs="Times New Roman"/>
          <w:sz w:val="24"/>
          <w:szCs w:val="24"/>
        </w:rPr>
        <w:t>Задача Фонда</w:t>
      </w:r>
      <w:r w:rsidR="0054502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7DD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оперативно транслировать на территории региона о существующих возможностях субъектам предпринимательства и применять на практике новые механизмы</w:t>
      </w:r>
      <w:r w:rsidR="0054502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29B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выполнена</w:t>
      </w:r>
      <w:r w:rsidR="002D7DD7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29B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 период 2017-2019гг Фондом увеличено количество транслируемых материалов с одного вида (статьи) до 7 (статьи, видео, аудио, полиграфия, презентации, инсталляции в рамках выставочных стендов,</w:t>
      </w:r>
      <w:r w:rsidR="00B85B15" w:rsidRPr="00DE6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9BF" w:rsidRPr="00DE6060">
        <w:rPr>
          <w:rFonts w:ascii="Times New Roman" w:hAnsi="Times New Roman" w:cs="Times New Roman"/>
          <w:sz w:val="24"/>
          <w:szCs w:val="24"/>
        </w:rPr>
        <w:t>мессенджеры), количество транслируемого материала выросло более чем в 5 раз.</w:t>
      </w:r>
    </w:p>
    <w:p w:rsidR="00B85B15" w:rsidRPr="00DE6060" w:rsidRDefault="00B85B15" w:rsidP="00B85B15">
      <w:pPr>
        <w:spacing w:line="24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B15" w:rsidRPr="00DE6060" w:rsidRDefault="00B85B15" w:rsidP="00B85B15">
      <w:pPr>
        <w:spacing w:line="24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0">
        <w:rPr>
          <w:rFonts w:ascii="Times New Roman" w:hAnsi="Times New Roman" w:cs="Times New Roman"/>
          <w:b/>
          <w:sz w:val="24"/>
          <w:szCs w:val="24"/>
        </w:rPr>
        <w:t>1.2. Стратегия развития социально-экономического развития Чукотского АО</w:t>
      </w:r>
    </w:p>
    <w:p w:rsidR="00B85B15" w:rsidRPr="00DE6060" w:rsidRDefault="00B85B15" w:rsidP="00B85B15">
      <w:pPr>
        <w:spacing w:line="248" w:lineRule="exac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Правительство Чукотского автономного округа утвердило распоряжением от 16.07.2014г №</w:t>
      </w:r>
      <w:r w:rsidR="00CB562D">
        <w:rPr>
          <w:rFonts w:ascii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hAnsi="Times New Roman" w:cs="Times New Roman"/>
          <w:sz w:val="24"/>
          <w:szCs w:val="24"/>
        </w:rPr>
        <w:t>290-РП стратегию социально-экономического развития Чукотского автономного округа до 2030 года.</w:t>
      </w:r>
    </w:p>
    <w:p w:rsidR="00C964CC" w:rsidRPr="00DE6060" w:rsidRDefault="00B87FED" w:rsidP="00274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Фонд при постро</w:t>
      </w:r>
      <w:r w:rsidR="00782D78" w:rsidRPr="00DE6060">
        <w:rPr>
          <w:rFonts w:ascii="Times New Roman" w:hAnsi="Times New Roman" w:cs="Times New Roman"/>
          <w:sz w:val="24"/>
          <w:szCs w:val="24"/>
        </w:rPr>
        <w:t>ении планов своей работы принял</w:t>
      </w:r>
      <w:r w:rsidRPr="00DE6060">
        <w:rPr>
          <w:rFonts w:ascii="Times New Roman" w:hAnsi="Times New Roman" w:cs="Times New Roman"/>
          <w:sz w:val="24"/>
          <w:szCs w:val="24"/>
        </w:rPr>
        <w:t xml:space="preserve"> во внимание </w:t>
      </w:r>
      <w:r w:rsidR="00C964CC" w:rsidRPr="00DE6060">
        <w:rPr>
          <w:rFonts w:ascii="Times New Roman" w:hAnsi="Times New Roman" w:cs="Times New Roman"/>
          <w:sz w:val="24"/>
          <w:szCs w:val="24"/>
        </w:rPr>
        <w:t>Стратеги</w:t>
      </w:r>
      <w:r w:rsidR="002746D0" w:rsidRPr="00DE6060">
        <w:rPr>
          <w:rFonts w:ascii="Times New Roman" w:hAnsi="Times New Roman" w:cs="Times New Roman"/>
          <w:sz w:val="24"/>
          <w:szCs w:val="24"/>
        </w:rPr>
        <w:t>ю округа.</w:t>
      </w:r>
    </w:p>
    <w:p w:rsidR="00FD6051" w:rsidRPr="00DE6060" w:rsidRDefault="00FD6051" w:rsidP="00C96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051" w:rsidRPr="00DE6060" w:rsidRDefault="00FD6051" w:rsidP="00FD6051">
      <w:pPr>
        <w:tabs>
          <w:tab w:val="left" w:pos="851"/>
        </w:tabs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Чукотского АО до 2030 года предусматривает последовательную и планомерную реализацию приоритетов</w:t>
      </w:r>
      <w:r w:rsidR="002A3DB4" w:rsidRPr="00DE6060">
        <w:rPr>
          <w:rFonts w:ascii="Times New Roman" w:hAnsi="Times New Roman" w:cs="Times New Roman"/>
          <w:sz w:val="24"/>
          <w:szCs w:val="24"/>
        </w:rPr>
        <w:t>.</w:t>
      </w:r>
    </w:p>
    <w:p w:rsidR="00FD6051" w:rsidRPr="00DE6060" w:rsidRDefault="00FD6051" w:rsidP="00FD6051">
      <w:pPr>
        <w:tabs>
          <w:tab w:val="left" w:pos="851"/>
        </w:tabs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Реализаци</w:t>
      </w:r>
      <w:r w:rsidR="00106AF6" w:rsidRPr="00DE6060">
        <w:rPr>
          <w:rFonts w:ascii="Times New Roman" w:hAnsi="Times New Roman" w:cs="Times New Roman"/>
          <w:sz w:val="24"/>
          <w:szCs w:val="24"/>
        </w:rPr>
        <w:t>я</w:t>
      </w:r>
      <w:r w:rsidRPr="00DE6060">
        <w:rPr>
          <w:rFonts w:ascii="Times New Roman" w:hAnsi="Times New Roman" w:cs="Times New Roman"/>
          <w:sz w:val="24"/>
          <w:szCs w:val="24"/>
        </w:rPr>
        <w:t xml:space="preserve"> Стратегии позволит:</w:t>
      </w:r>
    </w:p>
    <w:p w:rsidR="00FD6051" w:rsidRPr="00DE6060" w:rsidRDefault="00FD6051" w:rsidP="00CD4CE9">
      <w:pPr>
        <w:pStyle w:val="1"/>
        <w:numPr>
          <w:ilvl w:val="0"/>
          <w:numId w:val="42"/>
        </w:numPr>
        <w:tabs>
          <w:tab w:val="clear" w:pos="2977"/>
          <w:tab w:val="left" w:pos="851"/>
        </w:tabs>
        <w:ind w:left="0" w:firstLine="567"/>
        <w:rPr>
          <w:sz w:val="24"/>
          <w:szCs w:val="24"/>
        </w:rPr>
      </w:pPr>
      <w:r w:rsidRPr="00DE6060">
        <w:rPr>
          <w:sz w:val="24"/>
          <w:szCs w:val="24"/>
        </w:rPr>
        <w:t>повысить ВРП на душу населения и среднедушевые доходы в 3,3 и 2,0 раза, соответственно; достичь по этим параметрам уровня Аляски и северных территорий Канады;</w:t>
      </w:r>
    </w:p>
    <w:p w:rsidR="00FD6051" w:rsidRPr="00DE6060" w:rsidRDefault="00FD6051" w:rsidP="00CD4CE9">
      <w:pPr>
        <w:pStyle w:val="1"/>
        <w:numPr>
          <w:ilvl w:val="0"/>
          <w:numId w:val="42"/>
        </w:numPr>
        <w:tabs>
          <w:tab w:val="clear" w:pos="2977"/>
          <w:tab w:val="left" w:pos="851"/>
        </w:tabs>
        <w:ind w:left="0" w:firstLine="567"/>
        <w:rPr>
          <w:sz w:val="24"/>
          <w:szCs w:val="24"/>
        </w:rPr>
      </w:pPr>
      <w:r w:rsidRPr="00DE6060">
        <w:rPr>
          <w:sz w:val="24"/>
          <w:szCs w:val="24"/>
        </w:rPr>
        <w:t>повысить уровень и качество жизни коренных народов Севера, что обеспечит рост их численности и увеличение доли в общей численности населения Чукотского АО до 35 %;</w:t>
      </w:r>
    </w:p>
    <w:p w:rsidR="00FD6051" w:rsidRPr="00DE6060" w:rsidRDefault="00FD6051" w:rsidP="00CD4CE9">
      <w:pPr>
        <w:pStyle w:val="1"/>
        <w:numPr>
          <w:ilvl w:val="0"/>
          <w:numId w:val="42"/>
        </w:numPr>
        <w:tabs>
          <w:tab w:val="clear" w:pos="2977"/>
          <w:tab w:val="left" w:pos="851"/>
        </w:tabs>
        <w:ind w:left="0" w:firstLine="567"/>
        <w:rPr>
          <w:sz w:val="24"/>
          <w:szCs w:val="24"/>
        </w:rPr>
      </w:pPr>
      <w:r w:rsidRPr="00DE6060">
        <w:rPr>
          <w:sz w:val="24"/>
          <w:szCs w:val="24"/>
        </w:rPr>
        <w:t>сформировать диверсифицированную экономическую базу Округа, опирающуюся на мощную базу добычи и переработки золота, угля и меди;</w:t>
      </w:r>
    </w:p>
    <w:p w:rsidR="00FD6051" w:rsidRPr="00DE6060" w:rsidRDefault="00FD6051" w:rsidP="00CD4CE9">
      <w:pPr>
        <w:pStyle w:val="1"/>
        <w:numPr>
          <w:ilvl w:val="0"/>
          <w:numId w:val="42"/>
        </w:numPr>
        <w:tabs>
          <w:tab w:val="clear" w:pos="2977"/>
          <w:tab w:val="left" w:pos="851"/>
        </w:tabs>
        <w:ind w:left="0" w:firstLine="567"/>
        <w:rPr>
          <w:sz w:val="24"/>
          <w:szCs w:val="24"/>
        </w:rPr>
      </w:pPr>
      <w:r w:rsidRPr="00DE6060">
        <w:rPr>
          <w:sz w:val="24"/>
          <w:szCs w:val="24"/>
        </w:rPr>
        <w:t xml:space="preserve"> добиться обеспеченности регионального бюджета собственными доходами до 100 % к 2025 году.</w:t>
      </w:r>
    </w:p>
    <w:p w:rsidR="0010118E" w:rsidRPr="00DE6060" w:rsidRDefault="0010118E" w:rsidP="0010118E">
      <w:pPr>
        <w:pStyle w:val="1"/>
        <w:tabs>
          <w:tab w:val="clear" w:pos="2977"/>
          <w:tab w:val="left" w:pos="851"/>
        </w:tabs>
        <w:ind w:firstLine="567"/>
        <w:rPr>
          <w:sz w:val="24"/>
          <w:szCs w:val="24"/>
        </w:rPr>
      </w:pPr>
      <w:r w:rsidRPr="00DE6060">
        <w:rPr>
          <w:sz w:val="24"/>
          <w:szCs w:val="24"/>
        </w:rPr>
        <w:t xml:space="preserve">Для целей </w:t>
      </w:r>
      <w:r w:rsidR="002A3DB4" w:rsidRPr="00DE6060">
        <w:rPr>
          <w:sz w:val="24"/>
          <w:szCs w:val="24"/>
        </w:rPr>
        <w:t xml:space="preserve">достижения </w:t>
      </w:r>
      <w:r w:rsidRPr="00DE6060">
        <w:rPr>
          <w:sz w:val="24"/>
          <w:szCs w:val="24"/>
        </w:rPr>
        <w:t xml:space="preserve">поставленных задач Правительством Чукотского автономного округа </w:t>
      </w:r>
      <w:r w:rsidR="0047735F" w:rsidRPr="00DE6060">
        <w:rPr>
          <w:sz w:val="24"/>
          <w:szCs w:val="24"/>
        </w:rPr>
        <w:t>Фонд</w:t>
      </w:r>
      <w:r w:rsidR="00C2703B" w:rsidRPr="00DE6060">
        <w:rPr>
          <w:sz w:val="24"/>
          <w:szCs w:val="24"/>
        </w:rPr>
        <w:t>,</w:t>
      </w:r>
      <w:r w:rsidR="0047735F" w:rsidRPr="00DE6060">
        <w:rPr>
          <w:sz w:val="24"/>
          <w:szCs w:val="24"/>
        </w:rPr>
        <w:t xml:space="preserve"> в рамках своих полномочий</w:t>
      </w:r>
      <w:r w:rsidR="00C2703B" w:rsidRPr="00DE6060">
        <w:rPr>
          <w:sz w:val="24"/>
          <w:szCs w:val="24"/>
        </w:rPr>
        <w:t>,</w:t>
      </w:r>
      <w:r w:rsidR="0047735F" w:rsidRPr="00DE6060">
        <w:rPr>
          <w:sz w:val="24"/>
          <w:szCs w:val="24"/>
        </w:rPr>
        <w:t xml:space="preserve"> </w:t>
      </w:r>
      <w:r w:rsidRPr="00DE6060">
        <w:rPr>
          <w:sz w:val="24"/>
          <w:szCs w:val="24"/>
        </w:rPr>
        <w:t>предприня</w:t>
      </w:r>
      <w:r w:rsidR="0047735F" w:rsidRPr="00DE6060">
        <w:rPr>
          <w:sz w:val="24"/>
          <w:szCs w:val="24"/>
        </w:rPr>
        <w:t xml:space="preserve">л ряд мер по реализации </w:t>
      </w:r>
      <w:r w:rsidRPr="00DE6060">
        <w:rPr>
          <w:sz w:val="24"/>
          <w:szCs w:val="24"/>
        </w:rPr>
        <w:t>механизмов</w:t>
      </w:r>
      <w:r w:rsidR="002C5155" w:rsidRPr="00DE6060">
        <w:rPr>
          <w:sz w:val="24"/>
          <w:szCs w:val="24"/>
        </w:rPr>
        <w:t xml:space="preserve"> поддержки инвестиционных проектов малого, среднего, крупного бизнеса, в т.ч. </w:t>
      </w:r>
      <w:r w:rsidR="0047735F" w:rsidRPr="00DE6060">
        <w:rPr>
          <w:sz w:val="24"/>
          <w:szCs w:val="24"/>
        </w:rPr>
        <w:t xml:space="preserve">широко применяются субъектами предпринимательства </w:t>
      </w:r>
      <w:r w:rsidR="002C5155" w:rsidRPr="00DE6060">
        <w:rPr>
          <w:sz w:val="24"/>
          <w:szCs w:val="24"/>
        </w:rPr>
        <w:t>реализова</w:t>
      </w:r>
      <w:r w:rsidR="0047735F" w:rsidRPr="00DE6060">
        <w:rPr>
          <w:sz w:val="24"/>
          <w:szCs w:val="24"/>
        </w:rPr>
        <w:t>н</w:t>
      </w:r>
      <w:r w:rsidR="002C5155" w:rsidRPr="00DE6060">
        <w:rPr>
          <w:sz w:val="24"/>
          <w:szCs w:val="24"/>
        </w:rPr>
        <w:t>ны</w:t>
      </w:r>
      <w:r w:rsidR="0047735F" w:rsidRPr="00DE6060">
        <w:rPr>
          <w:sz w:val="24"/>
          <w:szCs w:val="24"/>
        </w:rPr>
        <w:t>е</w:t>
      </w:r>
      <w:r w:rsidR="002C5155" w:rsidRPr="00DE6060">
        <w:rPr>
          <w:sz w:val="24"/>
          <w:szCs w:val="24"/>
        </w:rPr>
        <w:t xml:space="preserve"> программы</w:t>
      </w:r>
      <w:r w:rsidR="00FC7113" w:rsidRPr="00DE6060">
        <w:rPr>
          <w:sz w:val="24"/>
          <w:szCs w:val="24"/>
        </w:rPr>
        <w:t xml:space="preserve"> (с учетом изменений и дополнений)</w:t>
      </w:r>
      <w:r w:rsidRPr="00DE6060">
        <w:rPr>
          <w:sz w:val="24"/>
          <w:szCs w:val="24"/>
        </w:rPr>
        <w:t>:</w:t>
      </w:r>
    </w:p>
    <w:p w:rsidR="00DA3E68" w:rsidRPr="00DE6060" w:rsidRDefault="00DA3E68" w:rsidP="00CD4CE9">
      <w:pPr>
        <w:pStyle w:val="1"/>
        <w:numPr>
          <w:ilvl w:val="0"/>
          <w:numId w:val="51"/>
        </w:numPr>
        <w:tabs>
          <w:tab w:val="clear" w:pos="2977"/>
          <w:tab w:val="left" w:pos="284"/>
        </w:tabs>
        <w:ind w:left="284" w:firstLine="283"/>
        <w:rPr>
          <w:sz w:val="24"/>
          <w:szCs w:val="24"/>
        </w:rPr>
      </w:pPr>
      <w:r w:rsidRPr="00DE6060">
        <w:rPr>
          <w:sz w:val="24"/>
          <w:szCs w:val="24"/>
        </w:rPr>
        <w:t xml:space="preserve"> В соответствии с Законом Чукотского автономного округа от 05.05.2015г №28-ОЗ «О реализации отдельных положений законодательства Российской Федерации в части осуществления инвестиционных проектов на территории Чукотского автономного округа» в регионе введены налоговые преференции для инвесторов, реализовавших значимые инвестиционные проекты;</w:t>
      </w:r>
    </w:p>
    <w:p w:rsidR="00CC7507" w:rsidRPr="00DE6060" w:rsidRDefault="00AA3238" w:rsidP="00CD4CE9">
      <w:pPr>
        <w:pStyle w:val="1"/>
        <w:numPr>
          <w:ilvl w:val="0"/>
          <w:numId w:val="51"/>
        </w:numPr>
        <w:tabs>
          <w:tab w:val="clear" w:pos="2977"/>
          <w:tab w:val="left" w:pos="284"/>
        </w:tabs>
        <w:ind w:left="284" w:firstLine="283"/>
        <w:rPr>
          <w:sz w:val="24"/>
          <w:szCs w:val="24"/>
        </w:rPr>
      </w:pPr>
      <w:r w:rsidRPr="00DE6060">
        <w:rPr>
          <w:sz w:val="24"/>
          <w:szCs w:val="24"/>
        </w:rPr>
        <w:t>В соответствии с Федеральным законом от 30.09.2013г № 267-ФЗ «О внесении изменений в части первую и вторую Налогового кодекса Российской Федерации в части стимулирования реализации региональных инвестиционных проектов на территориях Дальневосточного федерального округа и отдельных субъектов Российской Федерации» с 01.01.2014г в регионе введены налоговые преференции для инвесторов, реализующих р</w:t>
      </w:r>
      <w:r w:rsidR="00CC7507" w:rsidRPr="00DE6060">
        <w:rPr>
          <w:sz w:val="24"/>
          <w:szCs w:val="24"/>
        </w:rPr>
        <w:t>егиональные инвестиционные проекты;</w:t>
      </w:r>
    </w:p>
    <w:p w:rsidR="00CC7507" w:rsidRPr="00DE6060" w:rsidRDefault="00CC7507" w:rsidP="00533516">
      <w:pPr>
        <w:pStyle w:val="1"/>
        <w:numPr>
          <w:ilvl w:val="0"/>
          <w:numId w:val="51"/>
        </w:numPr>
        <w:tabs>
          <w:tab w:val="clear" w:pos="2977"/>
          <w:tab w:val="left" w:pos="284"/>
        </w:tabs>
        <w:ind w:left="284" w:firstLine="283"/>
        <w:rPr>
          <w:sz w:val="24"/>
          <w:szCs w:val="24"/>
        </w:rPr>
      </w:pPr>
      <w:r w:rsidRPr="00DE6060">
        <w:rPr>
          <w:sz w:val="24"/>
          <w:szCs w:val="24"/>
        </w:rPr>
        <w:t xml:space="preserve">ТОР </w:t>
      </w:r>
      <w:r w:rsidRPr="00533516">
        <w:rPr>
          <w:sz w:val="24"/>
          <w:szCs w:val="24"/>
        </w:rPr>
        <w:t>«</w:t>
      </w:r>
      <w:r w:rsidR="00DE34E2" w:rsidRPr="00533516">
        <w:rPr>
          <w:sz w:val="24"/>
          <w:szCs w:val="24"/>
        </w:rPr>
        <w:t>Чукотка</w:t>
      </w:r>
      <w:r w:rsidRPr="00533516">
        <w:rPr>
          <w:sz w:val="24"/>
          <w:szCs w:val="24"/>
        </w:rPr>
        <w:t>»</w:t>
      </w:r>
      <w:r w:rsidR="003147B6" w:rsidRPr="00533516">
        <w:rPr>
          <w:sz w:val="24"/>
          <w:szCs w:val="24"/>
        </w:rPr>
        <w:t xml:space="preserve"> </w:t>
      </w:r>
      <w:r w:rsidR="003147B6" w:rsidRPr="00DE6060">
        <w:rPr>
          <w:sz w:val="24"/>
          <w:szCs w:val="24"/>
        </w:rPr>
        <w:t>позволяет применять налоговые преференции, получить без п</w:t>
      </w:r>
      <w:r w:rsidR="00106AF6" w:rsidRPr="00DE6060">
        <w:rPr>
          <w:sz w:val="24"/>
          <w:szCs w:val="24"/>
        </w:rPr>
        <w:t>р</w:t>
      </w:r>
      <w:r w:rsidR="003147B6" w:rsidRPr="00DE6060">
        <w:rPr>
          <w:sz w:val="24"/>
          <w:szCs w:val="24"/>
        </w:rPr>
        <w:t xml:space="preserve">оведения торгов земельный участок, дерегулирование при контрольных мероприятиях и т.д. Создана в Чукотском автономном округе Дальневосточного федерального округа Российской Федерации Постановлением Правительства РФ </w:t>
      </w:r>
      <w:r w:rsidR="00533516" w:rsidRPr="00533516">
        <w:rPr>
          <w:sz w:val="24"/>
          <w:szCs w:val="24"/>
        </w:rPr>
        <w:t>№ 876 от 21.08.2015 «О создании территории опережающего социально-экономического развития «Беринговский»</w:t>
      </w:r>
      <w:r w:rsidR="003147B6" w:rsidRPr="00DE6060">
        <w:rPr>
          <w:sz w:val="24"/>
          <w:szCs w:val="24"/>
        </w:rPr>
        <w:t>21 августа 2015 года</w:t>
      </w:r>
      <w:r w:rsidRPr="00DE6060">
        <w:rPr>
          <w:sz w:val="24"/>
          <w:szCs w:val="24"/>
        </w:rPr>
        <w:t>;</w:t>
      </w:r>
    </w:p>
    <w:p w:rsidR="00644BA9" w:rsidRPr="00DE6060" w:rsidRDefault="00CC7507" w:rsidP="00CD4CE9">
      <w:pPr>
        <w:pStyle w:val="a4"/>
        <w:numPr>
          <w:ilvl w:val="0"/>
          <w:numId w:val="51"/>
        </w:numPr>
        <w:tabs>
          <w:tab w:val="left" w:pos="284"/>
        </w:tabs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Распространение механизмов свободного порта Владивосток на территорию городского округа Певек</w:t>
      </w:r>
      <w:r w:rsidR="00644BA9" w:rsidRPr="00DE6060">
        <w:rPr>
          <w:rFonts w:ascii="Times New Roman" w:hAnsi="Times New Roman" w:cs="Times New Roman"/>
          <w:sz w:val="24"/>
          <w:szCs w:val="24"/>
        </w:rPr>
        <w:t xml:space="preserve"> - в соответствии Федеральным законом от 13 июля 2015 № 212-ФЗ «О свободном порте Владивосток» с июля 2016 года введен в состав свободного порта Владивосток городск</w:t>
      </w:r>
      <w:r w:rsidR="00215CC2" w:rsidRPr="00DE6060">
        <w:rPr>
          <w:rFonts w:ascii="Times New Roman" w:hAnsi="Times New Roman" w:cs="Times New Roman"/>
          <w:sz w:val="24"/>
          <w:szCs w:val="24"/>
        </w:rPr>
        <w:t>ой</w:t>
      </w:r>
      <w:r w:rsidR="00644BA9" w:rsidRPr="00DE6060">
        <w:rPr>
          <w:rFonts w:ascii="Times New Roman" w:hAnsi="Times New Roman" w:cs="Times New Roman"/>
          <w:sz w:val="24"/>
          <w:szCs w:val="24"/>
        </w:rPr>
        <w:t xml:space="preserve"> округ </w:t>
      </w:r>
      <w:proofErr w:type="spellStart"/>
      <w:r w:rsidR="00644BA9" w:rsidRPr="00DE6060">
        <w:rPr>
          <w:rFonts w:ascii="Times New Roman" w:hAnsi="Times New Roman" w:cs="Times New Roman"/>
          <w:sz w:val="24"/>
          <w:szCs w:val="24"/>
        </w:rPr>
        <w:t>Певек</w:t>
      </w:r>
      <w:proofErr w:type="spellEnd"/>
      <w:r w:rsidR="00644BA9" w:rsidRPr="00DE6060">
        <w:rPr>
          <w:rFonts w:ascii="Times New Roman" w:hAnsi="Times New Roman" w:cs="Times New Roman"/>
          <w:sz w:val="24"/>
          <w:szCs w:val="24"/>
        </w:rPr>
        <w:t xml:space="preserve"> Чукотского автономного округа площадью 67,1 тыс. кв. км, в том числе город Певек и три национальных села.</w:t>
      </w:r>
    </w:p>
    <w:p w:rsidR="004F1ADC" w:rsidRPr="00DE6060" w:rsidRDefault="0089065A" w:rsidP="00CD4CE9">
      <w:pPr>
        <w:pStyle w:val="1"/>
        <w:numPr>
          <w:ilvl w:val="0"/>
          <w:numId w:val="51"/>
        </w:numPr>
        <w:tabs>
          <w:tab w:val="clear" w:pos="2977"/>
          <w:tab w:val="left" w:pos="284"/>
        </w:tabs>
        <w:ind w:left="284" w:firstLine="283"/>
        <w:rPr>
          <w:sz w:val="24"/>
          <w:szCs w:val="24"/>
        </w:rPr>
      </w:pPr>
      <w:r w:rsidRPr="00DE6060">
        <w:rPr>
          <w:sz w:val="24"/>
          <w:szCs w:val="24"/>
        </w:rPr>
        <w:t>В рамках Федерального закона от 24.07.2007г № 209-ФЗ «О развитии малого и среднего предпринимательства в Российской Федерации</w:t>
      </w:r>
      <w:r w:rsidR="00215CC2" w:rsidRPr="00DE6060">
        <w:rPr>
          <w:sz w:val="24"/>
          <w:szCs w:val="24"/>
        </w:rPr>
        <w:t>»</w:t>
      </w:r>
      <w:r w:rsidRPr="00DE6060">
        <w:rPr>
          <w:sz w:val="24"/>
          <w:szCs w:val="24"/>
        </w:rPr>
        <w:t xml:space="preserve"> разработаны и реализованы программы г</w:t>
      </w:r>
      <w:r w:rsidR="004F1ADC" w:rsidRPr="00DE6060">
        <w:rPr>
          <w:sz w:val="24"/>
          <w:szCs w:val="24"/>
        </w:rPr>
        <w:t>рантов</w:t>
      </w:r>
      <w:r w:rsidRPr="00DE6060">
        <w:rPr>
          <w:sz w:val="24"/>
          <w:szCs w:val="24"/>
        </w:rPr>
        <w:t>ой</w:t>
      </w:r>
      <w:r w:rsidR="004F1ADC" w:rsidRPr="00DE6060">
        <w:rPr>
          <w:sz w:val="24"/>
          <w:szCs w:val="24"/>
        </w:rPr>
        <w:t xml:space="preserve"> поддержк</w:t>
      </w:r>
      <w:r w:rsidR="00100231" w:rsidRPr="00DE6060">
        <w:rPr>
          <w:sz w:val="24"/>
          <w:szCs w:val="24"/>
        </w:rPr>
        <w:t>и</w:t>
      </w:r>
      <w:r w:rsidR="004F1ADC" w:rsidRPr="00DE6060">
        <w:rPr>
          <w:sz w:val="24"/>
          <w:szCs w:val="24"/>
        </w:rPr>
        <w:t xml:space="preserve"> начинающих предпринимателей</w:t>
      </w:r>
      <w:r w:rsidR="00A944CA" w:rsidRPr="00DE6060">
        <w:rPr>
          <w:sz w:val="24"/>
          <w:szCs w:val="24"/>
        </w:rPr>
        <w:t xml:space="preserve">, а </w:t>
      </w:r>
      <w:r w:rsidR="00193A9D" w:rsidRPr="00DE6060">
        <w:rPr>
          <w:sz w:val="24"/>
          <w:szCs w:val="24"/>
        </w:rPr>
        <w:t>также</w:t>
      </w:r>
      <w:r w:rsidR="00A944CA" w:rsidRPr="00DE6060">
        <w:rPr>
          <w:sz w:val="24"/>
          <w:szCs w:val="24"/>
        </w:rPr>
        <w:t xml:space="preserve"> м</w:t>
      </w:r>
      <w:r w:rsidR="004F1ADC" w:rsidRPr="00DE6060">
        <w:rPr>
          <w:sz w:val="24"/>
          <w:szCs w:val="24"/>
        </w:rPr>
        <w:t>еханизмы возмещения фактически понесённых затрат предпринимателями</w:t>
      </w:r>
      <w:r w:rsidR="0014042D" w:rsidRPr="00DE6060">
        <w:rPr>
          <w:sz w:val="24"/>
          <w:szCs w:val="24"/>
        </w:rPr>
        <w:t>,</w:t>
      </w:r>
      <w:r w:rsidR="004F1ADC" w:rsidRPr="00DE6060">
        <w:rPr>
          <w:sz w:val="24"/>
          <w:szCs w:val="24"/>
        </w:rPr>
        <w:t xml:space="preserve"> </w:t>
      </w:r>
      <w:r w:rsidR="00A944CA" w:rsidRPr="00DE6060">
        <w:rPr>
          <w:sz w:val="24"/>
          <w:szCs w:val="24"/>
        </w:rPr>
        <w:t>в т.ч.</w:t>
      </w:r>
      <w:r w:rsidR="00FF19DD" w:rsidRPr="00DE6060">
        <w:rPr>
          <w:sz w:val="24"/>
          <w:szCs w:val="24"/>
        </w:rPr>
        <w:t xml:space="preserve"> систематически реализуются</w:t>
      </w:r>
      <w:r w:rsidR="00A944CA" w:rsidRPr="00DE6060">
        <w:rPr>
          <w:sz w:val="24"/>
          <w:szCs w:val="24"/>
        </w:rPr>
        <w:t>:</w:t>
      </w:r>
    </w:p>
    <w:p w:rsidR="00A944CA" w:rsidRPr="00DE6060" w:rsidRDefault="00A944CA" w:rsidP="00CD4CE9">
      <w:pPr>
        <w:pStyle w:val="1"/>
        <w:numPr>
          <w:ilvl w:val="1"/>
          <w:numId w:val="52"/>
        </w:numPr>
        <w:tabs>
          <w:tab w:val="clear" w:pos="2977"/>
        </w:tabs>
        <w:ind w:left="567" w:firstLine="283"/>
        <w:rPr>
          <w:rStyle w:val="apple-converted-space"/>
          <w:sz w:val="24"/>
          <w:szCs w:val="24"/>
        </w:rPr>
      </w:pPr>
      <w:r w:rsidRPr="00DE6060">
        <w:rPr>
          <w:sz w:val="24"/>
          <w:szCs w:val="24"/>
        </w:rPr>
        <w:t>Порядок предоставления государственной поддержки начинающим малым предприятиям на создание собственного дела в Чукотском автономном округе (Постановление Правительства Чукотского АО от 15.05.2014 г. № 218, в редакции от 11.10.2016 г.)</w:t>
      </w:r>
      <w:r w:rsidRPr="00DE6060">
        <w:rPr>
          <w:rStyle w:val="apple-converted-space"/>
          <w:sz w:val="24"/>
          <w:szCs w:val="24"/>
        </w:rPr>
        <w:t> </w:t>
      </w:r>
    </w:p>
    <w:p w:rsidR="00A944CA" w:rsidRPr="00DE6060" w:rsidRDefault="00A944CA" w:rsidP="00CD4CE9">
      <w:pPr>
        <w:pStyle w:val="1"/>
        <w:numPr>
          <w:ilvl w:val="1"/>
          <w:numId w:val="52"/>
        </w:numPr>
        <w:tabs>
          <w:tab w:val="clear" w:pos="2977"/>
        </w:tabs>
        <w:ind w:left="567" w:firstLine="283"/>
        <w:rPr>
          <w:sz w:val="24"/>
          <w:szCs w:val="24"/>
        </w:rPr>
      </w:pPr>
      <w:r w:rsidRPr="00DE6060">
        <w:rPr>
          <w:sz w:val="24"/>
          <w:szCs w:val="24"/>
        </w:rPr>
        <w:t>Порядок субсидирования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(Постановление Правительства Чукотского АО от 29.08.2014 № 399, в редакции от 11.10.2016 г.)</w:t>
      </w:r>
    </w:p>
    <w:p w:rsidR="00A944CA" w:rsidRPr="00DE6060" w:rsidRDefault="00A944CA" w:rsidP="00CD4CE9">
      <w:pPr>
        <w:pStyle w:val="1"/>
        <w:numPr>
          <w:ilvl w:val="1"/>
          <w:numId w:val="52"/>
        </w:numPr>
        <w:tabs>
          <w:tab w:val="clear" w:pos="2977"/>
        </w:tabs>
        <w:ind w:left="567" w:firstLine="283"/>
        <w:rPr>
          <w:rStyle w:val="apple-converted-space"/>
          <w:sz w:val="24"/>
          <w:szCs w:val="24"/>
        </w:rPr>
      </w:pPr>
      <w:r w:rsidRPr="00DE6060">
        <w:rPr>
          <w:sz w:val="24"/>
          <w:szCs w:val="24"/>
        </w:rPr>
        <w:t>Порядок субсидирования части затрат субъектов малого и среднего предпринимательства, связанных с уплатой первого взноса (аванса) при заключении договоров лизинга оборудования (Постановление Правительства Чукотского АО от 04.09.2015 г. № 462, в редакции от 11.10.2016 г.)</w:t>
      </w:r>
      <w:r w:rsidR="00D518AB" w:rsidRPr="00DE6060">
        <w:rPr>
          <w:rStyle w:val="apple-converted-space"/>
          <w:sz w:val="24"/>
          <w:szCs w:val="24"/>
        </w:rPr>
        <w:t>.</w:t>
      </w:r>
    </w:p>
    <w:p w:rsidR="005262C0" w:rsidRPr="00DE6060" w:rsidRDefault="005262C0" w:rsidP="00CD4CE9">
      <w:pPr>
        <w:pStyle w:val="1"/>
        <w:numPr>
          <w:ilvl w:val="1"/>
          <w:numId w:val="52"/>
        </w:numPr>
        <w:tabs>
          <w:tab w:val="clear" w:pos="2977"/>
        </w:tabs>
        <w:ind w:left="567" w:firstLine="283"/>
        <w:rPr>
          <w:rStyle w:val="apple-converted-space"/>
          <w:sz w:val="24"/>
          <w:szCs w:val="24"/>
        </w:rPr>
      </w:pPr>
      <w:r w:rsidRPr="00DE6060">
        <w:rPr>
          <w:rStyle w:val="apple-converted-space"/>
          <w:sz w:val="24"/>
          <w:szCs w:val="24"/>
        </w:rPr>
        <w:t>Иные меры государственной поддержки на территории Чукотского автономного округа.</w:t>
      </w:r>
    </w:p>
    <w:p w:rsidR="00D518AB" w:rsidRPr="00DE6060" w:rsidRDefault="00D518AB" w:rsidP="00D518AB">
      <w:pPr>
        <w:pStyle w:val="1"/>
        <w:tabs>
          <w:tab w:val="clear" w:pos="2977"/>
        </w:tabs>
        <w:ind w:left="850"/>
        <w:rPr>
          <w:rStyle w:val="apple-converted-space"/>
          <w:sz w:val="24"/>
          <w:szCs w:val="24"/>
        </w:rPr>
      </w:pPr>
    </w:p>
    <w:p w:rsidR="00C46830" w:rsidRPr="00DE6060" w:rsidRDefault="00531280" w:rsidP="00C46830">
      <w:pPr>
        <w:pStyle w:val="1"/>
        <w:numPr>
          <w:ilvl w:val="0"/>
          <w:numId w:val="51"/>
        </w:numPr>
        <w:tabs>
          <w:tab w:val="clear" w:pos="2977"/>
          <w:tab w:val="left" w:pos="284"/>
        </w:tabs>
        <w:spacing w:after="0"/>
        <w:ind w:left="284" w:firstLine="284"/>
        <w:rPr>
          <w:sz w:val="24"/>
          <w:szCs w:val="24"/>
        </w:rPr>
      </w:pPr>
      <w:r w:rsidRPr="00DE6060">
        <w:rPr>
          <w:sz w:val="24"/>
          <w:szCs w:val="24"/>
        </w:rPr>
        <w:t>Запущена работа</w:t>
      </w:r>
      <w:r w:rsidR="004F1ADC" w:rsidRPr="00DE6060">
        <w:rPr>
          <w:sz w:val="24"/>
          <w:szCs w:val="24"/>
        </w:rPr>
        <w:t xml:space="preserve"> </w:t>
      </w:r>
      <w:r w:rsidRPr="00DE6060">
        <w:rPr>
          <w:sz w:val="24"/>
          <w:szCs w:val="24"/>
        </w:rPr>
        <w:t xml:space="preserve">регионального </w:t>
      </w:r>
      <w:r w:rsidR="004F1ADC" w:rsidRPr="00DE6060">
        <w:rPr>
          <w:sz w:val="24"/>
          <w:szCs w:val="24"/>
        </w:rPr>
        <w:t>институт</w:t>
      </w:r>
      <w:r w:rsidRPr="00DE6060">
        <w:rPr>
          <w:sz w:val="24"/>
          <w:szCs w:val="24"/>
        </w:rPr>
        <w:t>а</w:t>
      </w:r>
      <w:r w:rsidR="004F1ADC" w:rsidRPr="00DE6060">
        <w:rPr>
          <w:sz w:val="24"/>
          <w:szCs w:val="24"/>
        </w:rPr>
        <w:t xml:space="preserve"> консолидированной</w:t>
      </w:r>
      <w:r w:rsidRPr="00DE6060">
        <w:rPr>
          <w:sz w:val="24"/>
          <w:szCs w:val="24"/>
        </w:rPr>
        <w:t>,</w:t>
      </w:r>
      <w:r w:rsidR="004F1ADC" w:rsidRPr="00DE6060">
        <w:rPr>
          <w:sz w:val="24"/>
          <w:szCs w:val="24"/>
        </w:rPr>
        <w:t xml:space="preserve"> </w:t>
      </w:r>
      <w:r w:rsidR="0089257E" w:rsidRPr="00DE6060">
        <w:rPr>
          <w:sz w:val="24"/>
          <w:szCs w:val="24"/>
        </w:rPr>
        <w:t xml:space="preserve">консультационной </w:t>
      </w:r>
      <w:r w:rsidR="004F1ADC" w:rsidRPr="00DE6060">
        <w:rPr>
          <w:sz w:val="24"/>
          <w:szCs w:val="24"/>
        </w:rPr>
        <w:t xml:space="preserve">поддержки </w:t>
      </w:r>
      <w:r w:rsidR="0089257E" w:rsidRPr="00DE6060">
        <w:rPr>
          <w:sz w:val="24"/>
          <w:szCs w:val="24"/>
        </w:rPr>
        <w:t>и оказания услуг по написанию бизнес-планов</w:t>
      </w:r>
      <w:r w:rsidR="00FF19DD" w:rsidRPr="00DE6060">
        <w:rPr>
          <w:sz w:val="24"/>
          <w:szCs w:val="24"/>
        </w:rPr>
        <w:t xml:space="preserve"> для субъектов предпринимательства малого, среднего, крупного бизнеса</w:t>
      </w:r>
      <w:r w:rsidRPr="00DE6060">
        <w:rPr>
          <w:sz w:val="24"/>
          <w:szCs w:val="24"/>
        </w:rPr>
        <w:t xml:space="preserve"> – </w:t>
      </w:r>
      <w:r w:rsidR="005537A4">
        <w:rPr>
          <w:sz w:val="24"/>
          <w:szCs w:val="24"/>
        </w:rPr>
        <w:t>Н</w:t>
      </w:r>
      <w:r w:rsidR="00BE487F" w:rsidRPr="00DE6060">
        <w:rPr>
          <w:sz w:val="24"/>
          <w:szCs w:val="24"/>
        </w:rPr>
        <w:t>екоммерческая организация</w:t>
      </w:r>
      <w:r w:rsidRPr="00DE6060">
        <w:rPr>
          <w:sz w:val="24"/>
          <w:szCs w:val="24"/>
        </w:rPr>
        <w:t xml:space="preserve"> «Фонд развития </w:t>
      </w:r>
      <w:r w:rsidR="005537A4">
        <w:rPr>
          <w:sz w:val="24"/>
          <w:szCs w:val="24"/>
        </w:rPr>
        <w:t>Чукотки</w:t>
      </w:r>
      <w:r w:rsidRPr="00DE6060">
        <w:rPr>
          <w:sz w:val="24"/>
          <w:szCs w:val="24"/>
        </w:rPr>
        <w:t>»</w:t>
      </w:r>
      <w:r w:rsidR="0089257E" w:rsidRPr="00DE6060">
        <w:rPr>
          <w:sz w:val="24"/>
          <w:szCs w:val="24"/>
        </w:rPr>
        <w:t>.</w:t>
      </w:r>
      <w:r w:rsidR="00FC7113" w:rsidRPr="00DE6060">
        <w:rPr>
          <w:sz w:val="24"/>
          <w:szCs w:val="24"/>
        </w:rPr>
        <w:t xml:space="preserve"> По распоряжению Правительства Чукотского автономного округа, Фонд в течение 2017-2019гг внедрил на своей базе ряд </w:t>
      </w:r>
      <w:r w:rsidR="00193A9D" w:rsidRPr="00DE6060">
        <w:rPr>
          <w:sz w:val="24"/>
          <w:szCs w:val="24"/>
        </w:rPr>
        <w:t>функций,</w:t>
      </w:r>
      <w:r w:rsidR="00FC7113" w:rsidRPr="00DE6060">
        <w:rPr>
          <w:sz w:val="24"/>
          <w:szCs w:val="24"/>
        </w:rPr>
        <w:t xml:space="preserve"> дополняющих друг друга</w:t>
      </w:r>
      <w:r w:rsidR="000504D9" w:rsidRPr="00DE6060">
        <w:rPr>
          <w:sz w:val="24"/>
          <w:szCs w:val="24"/>
        </w:rPr>
        <w:t xml:space="preserve"> и позволяющих в формате «одного окна» получать инициаторам инвестиционных проектов, субъектам предпринимательства, физическим лицам, заинтересованным в осуществлении предпринимательской деятельности, поддержку в виде нефинансовых и финансовых механизмов.</w:t>
      </w:r>
    </w:p>
    <w:p w:rsidR="006C355B" w:rsidRPr="00DE6060" w:rsidRDefault="006C355B" w:rsidP="006C355B">
      <w:pPr>
        <w:pStyle w:val="1"/>
        <w:tabs>
          <w:tab w:val="clear" w:pos="2977"/>
          <w:tab w:val="left" w:pos="284"/>
        </w:tabs>
        <w:spacing w:after="0"/>
        <w:ind w:left="568"/>
        <w:rPr>
          <w:sz w:val="24"/>
          <w:szCs w:val="24"/>
        </w:rPr>
      </w:pPr>
    </w:p>
    <w:p w:rsidR="009A3BD8" w:rsidRPr="00DE6060" w:rsidRDefault="009A3BD8" w:rsidP="002D7D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0">
        <w:rPr>
          <w:rFonts w:ascii="Times New Roman" w:hAnsi="Times New Roman" w:cs="Times New Roman"/>
          <w:b/>
          <w:sz w:val="24"/>
          <w:szCs w:val="24"/>
        </w:rPr>
        <w:t>1.3. Государственная программа «Стимулировани</w:t>
      </w:r>
      <w:r w:rsidR="00D518AB" w:rsidRPr="00DE6060">
        <w:rPr>
          <w:rFonts w:ascii="Times New Roman" w:hAnsi="Times New Roman" w:cs="Times New Roman"/>
          <w:b/>
          <w:sz w:val="24"/>
          <w:szCs w:val="24"/>
        </w:rPr>
        <w:t>е</w:t>
      </w:r>
      <w:r w:rsidRPr="00DE6060">
        <w:rPr>
          <w:rFonts w:ascii="Times New Roman" w:hAnsi="Times New Roman" w:cs="Times New Roman"/>
          <w:b/>
          <w:sz w:val="24"/>
          <w:szCs w:val="24"/>
        </w:rPr>
        <w:t xml:space="preserve"> экономической активности населения Чукотского автономного округа на 2014-2018 годы».</w:t>
      </w:r>
    </w:p>
    <w:p w:rsidR="009A3BD8" w:rsidRPr="00DE6060" w:rsidRDefault="009A3BD8" w:rsidP="002D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D12" w:rsidRPr="00DE6060" w:rsidRDefault="002D7DD7" w:rsidP="002D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Правительство Чукотского </w:t>
      </w:r>
      <w:r w:rsidR="00CB562D">
        <w:rPr>
          <w:rFonts w:ascii="Times New Roman" w:hAnsi="Times New Roman" w:cs="Times New Roman"/>
          <w:sz w:val="24"/>
          <w:szCs w:val="24"/>
        </w:rPr>
        <w:t>автономного округа 21.10.2013г П</w:t>
      </w:r>
      <w:r w:rsidRPr="00DE6060">
        <w:rPr>
          <w:rFonts w:ascii="Times New Roman" w:hAnsi="Times New Roman" w:cs="Times New Roman"/>
          <w:sz w:val="24"/>
          <w:szCs w:val="24"/>
        </w:rPr>
        <w:t xml:space="preserve">остановлением № 410 утвердило </w:t>
      </w:r>
      <w:r w:rsidRPr="00DE6060">
        <w:rPr>
          <w:rFonts w:ascii="Times New Roman" w:hAnsi="Times New Roman" w:cs="Times New Roman"/>
          <w:b/>
          <w:sz w:val="24"/>
          <w:szCs w:val="24"/>
        </w:rPr>
        <w:t>Государственную программу «Стимулирования экономической активности населения Чукотского автономного округа на 2014-2018 годы</w:t>
      </w:r>
      <w:r w:rsidRPr="00DE6060">
        <w:rPr>
          <w:rFonts w:ascii="Times New Roman" w:hAnsi="Times New Roman" w:cs="Times New Roman"/>
          <w:sz w:val="24"/>
          <w:szCs w:val="24"/>
        </w:rPr>
        <w:t>». В рамках государственной программы утверждён ряд подпрограмм, в т.ч. Программа «Государственная поддержка малого и среднего предпринимательства»</w:t>
      </w:r>
      <w:r w:rsidR="008A07C5" w:rsidRPr="00DE6060">
        <w:rPr>
          <w:rFonts w:ascii="Times New Roman" w:hAnsi="Times New Roman" w:cs="Times New Roman"/>
          <w:sz w:val="24"/>
          <w:szCs w:val="24"/>
        </w:rPr>
        <w:t>,</w:t>
      </w:r>
      <w:r w:rsidRPr="00DE6060">
        <w:rPr>
          <w:rFonts w:ascii="Times New Roman" w:hAnsi="Times New Roman" w:cs="Times New Roman"/>
          <w:sz w:val="24"/>
          <w:szCs w:val="24"/>
        </w:rPr>
        <w:t xml:space="preserve"> целью которой</w:t>
      </w:r>
      <w:r w:rsidR="00B37948" w:rsidRPr="00DE6060">
        <w:rPr>
          <w:rFonts w:ascii="Times New Roman" w:hAnsi="Times New Roman" w:cs="Times New Roman"/>
          <w:sz w:val="24"/>
          <w:szCs w:val="24"/>
        </w:rPr>
        <w:t>,</w:t>
      </w:r>
      <w:r w:rsidRPr="00DE6060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функционирования и развития малого и среднего предпринимательства. </w:t>
      </w:r>
    </w:p>
    <w:p w:rsidR="00D518AB" w:rsidRPr="00DE6060" w:rsidRDefault="00D518AB" w:rsidP="002D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DD7" w:rsidRPr="00DE6060" w:rsidRDefault="007C074B" w:rsidP="002D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Фонд</w:t>
      </w:r>
      <w:r w:rsidR="00E44C7F" w:rsidRPr="00DE6060">
        <w:rPr>
          <w:rFonts w:ascii="Times New Roman" w:hAnsi="Times New Roman" w:cs="Times New Roman"/>
          <w:sz w:val="24"/>
          <w:szCs w:val="24"/>
        </w:rPr>
        <w:t xml:space="preserve"> следует целям Программы и принял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непосредственное участие в реализации з</w:t>
      </w:r>
      <w:r w:rsidR="002D7DD7" w:rsidRPr="00DE6060">
        <w:rPr>
          <w:rFonts w:ascii="Times New Roman" w:hAnsi="Times New Roman" w:cs="Times New Roman"/>
          <w:sz w:val="24"/>
          <w:szCs w:val="24"/>
        </w:rPr>
        <w:t>адач</w:t>
      </w:r>
      <w:r w:rsidRPr="00DE6060">
        <w:rPr>
          <w:rFonts w:ascii="Times New Roman" w:hAnsi="Times New Roman" w:cs="Times New Roman"/>
          <w:sz w:val="24"/>
          <w:szCs w:val="24"/>
        </w:rPr>
        <w:t xml:space="preserve"> подпрограммы, в т.ч.</w:t>
      </w:r>
      <w:r w:rsidR="002D7DD7" w:rsidRPr="00DE6060">
        <w:rPr>
          <w:rFonts w:ascii="Times New Roman" w:hAnsi="Times New Roman" w:cs="Times New Roman"/>
          <w:sz w:val="24"/>
          <w:szCs w:val="24"/>
        </w:rPr>
        <w:t>:</w:t>
      </w:r>
    </w:p>
    <w:p w:rsidR="002D7DD7" w:rsidRPr="00DE6060" w:rsidRDefault="002D7DD7" w:rsidP="00CD4CE9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Совершенствование правовых и экономических условий развития малого и среднего предпринимательства;</w:t>
      </w:r>
    </w:p>
    <w:p w:rsidR="002D7DD7" w:rsidRPr="00DE6060" w:rsidRDefault="002D7DD7" w:rsidP="00CD4CE9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совершенствование финансовых механизмов государственной поддержки малого и среднего предпринимательства;</w:t>
      </w:r>
    </w:p>
    <w:p w:rsidR="002D7DD7" w:rsidRPr="00DE6060" w:rsidRDefault="002D7DD7" w:rsidP="00CD4CE9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улучшение стартовых условий для предпринимательской деятельности;</w:t>
      </w:r>
    </w:p>
    <w:p w:rsidR="002D7DD7" w:rsidRPr="00DE6060" w:rsidRDefault="002D7DD7" w:rsidP="00CD4CE9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создание и развитие инфраструктуры поддержки субъектов малого и среднего предпринимательства.</w:t>
      </w:r>
    </w:p>
    <w:p w:rsidR="002D7DD7" w:rsidRPr="00DE6060" w:rsidRDefault="002D7DD7" w:rsidP="002D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Для целей развития субъектов малого и среднего предпринимательства на территории Чукотского автономного округа, Государственной программой определён ряд приоритетов</w:t>
      </w:r>
      <w:r w:rsidR="00A027A5" w:rsidRPr="00DE6060">
        <w:rPr>
          <w:rFonts w:ascii="Times New Roman" w:hAnsi="Times New Roman" w:cs="Times New Roman"/>
          <w:sz w:val="24"/>
          <w:szCs w:val="24"/>
        </w:rPr>
        <w:t>, примен</w:t>
      </w:r>
      <w:r w:rsidR="00E44C7F" w:rsidRPr="00DE6060">
        <w:rPr>
          <w:rFonts w:ascii="Times New Roman" w:hAnsi="Times New Roman" w:cs="Times New Roman"/>
          <w:sz w:val="24"/>
          <w:szCs w:val="24"/>
        </w:rPr>
        <w:t>ённых</w:t>
      </w:r>
      <w:r w:rsidR="00A027A5" w:rsidRPr="00DE6060">
        <w:rPr>
          <w:rFonts w:ascii="Times New Roman" w:hAnsi="Times New Roman" w:cs="Times New Roman"/>
          <w:sz w:val="24"/>
          <w:szCs w:val="24"/>
        </w:rPr>
        <w:t xml:space="preserve"> в работе Фондом</w:t>
      </w:r>
      <w:r w:rsidRPr="00DE6060">
        <w:rPr>
          <w:rFonts w:ascii="Times New Roman" w:hAnsi="Times New Roman" w:cs="Times New Roman"/>
          <w:sz w:val="24"/>
          <w:szCs w:val="24"/>
        </w:rPr>
        <w:t>, к которым относятся:</w:t>
      </w:r>
    </w:p>
    <w:p w:rsidR="002D7DD7" w:rsidRPr="00DE6060" w:rsidRDefault="002D7DD7" w:rsidP="00CD4CE9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оказание государственной поддержки малого и среднего предпринимательства;</w:t>
      </w:r>
    </w:p>
    <w:p w:rsidR="002D7DD7" w:rsidRPr="00DE6060" w:rsidRDefault="002D7DD7" w:rsidP="00CD4CE9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повышение гибкости рынка труда;</w:t>
      </w:r>
    </w:p>
    <w:p w:rsidR="002D7DD7" w:rsidRPr="00DE6060" w:rsidRDefault="002D7DD7" w:rsidP="00CD4CE9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улучшение качества рабочей силы и развитие ее профессиональной мобильности;</w:t>
      </w:r>
    </w:p>
    <w:p w:rsidR="002D7DD7" w:rsidRPr="00DE6060" w:rsidRDefault="002D7DD7" w:rsidP="00CD4CE9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рост занятости и эффективности использования труда, в том числе за счет повышения территориальной мобильности трудовых ресурсов;</w:t>
      </w:r>
    </w:p>
    <w:p w:rsidR="002D7DD7" w:rsidRPr="00DE6060" w:rsidRDefault="002D7DD7" w:rsidP="00CD4CE9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обеспечение продовольственной безопасности жителей Чукотского автономного округа;</w:t>
      </w:r>
    </w:p>
    <w:p w:rsidR="002D7DD7" w:rsidRPr="00DE6060" w:rsidRDefault="002D7DD7" w:rsidP="00CD4CE9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оказание государственной поддержки социально ориентированным некоммерческим организациям, развитие взаимодействия государства, населения, бизнеса и структур гражданского общества.</w:t>
      </w:r>
    </w:p>
    <w:p w:rsidR="002D7DD7" w:rsidRPr="00DE6060" w:rsidRDefault="002D7DD7" w:rsidP="002D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Учитывая указанные приоритеты Чукотского автономного округа, </w:t>
      </w:r>
      <w:r w:rsidR="00E44C7F" w:rsidRPr="00DE6060">
        <w:rPr>
          <w:rFonts w:ascii="Times New Roman" w:hAnsi="Times New Roman" w:cs="Times New Roman"/>
          <w:sz w:val="24"/>
          <w:szCs w:val="24"/>
        </w:rPr>
        <w:t xml:space="preserve">в работе Фонда применялись, за счет расширения перечня оказываемых услуг, </w:t>
      </w:r>
      <w:r w:rsidRPr="00DE6060">
        <w:rPr>
          <w:rFonts w:ascii="Times New Roman" w:hAnsi="Times New Roman" w:cs="Times New Roman"/>
          <w:sz w:val="24"/>
          <w:szCs w:val="24"/>
        </w:rPr>
        <w:t>следующие цели Государственной программы:</w:t>
      </w:r>
    </w:p>
    <w:p w:rsidR="002D7DD7" w:rsidRPr="00DE6060" w:rsidRDefault="002D7DD7" w:rsidP="00CD4CE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создание благоприятного предпринимательского климата и условий для ведения бизнеса;</w:t>
      </w:r>
    </w:p>
    <w:p w:rsidR="002D7DD7" w:rsidRPr="00DE6060" w:rsidRDefault="002D7DD7" w:rsidP="00CD4CE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предотвращение роста уровня безработицы, напряженности на рынке труда и социальная поддержка безработных граждан;</w:t>
      </w:r>
    </w:p>
    <w:p w:rsidR="002D7DD7" w:rsidRPr="00DE6060" w:rsidRDefault="002D7DD7" w:rsidP="00CD4CE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развитие трудовых ресурсов, повышение их мобильности;</w:t>
      </w:r>
    </w:p>
    <w:p w:rsidR="002D7DD7" w:rsidRPr="00DE6060" w:rsidRDefault="002D7DD7" w:rsidP="00CD4CE9">
      <w:pPr>
        <w:pStyle w:val="ConsPlusNormal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стимулирование социально ориентированной деятельности некоммерческих организаций.</w:t>
      </w:r>
    </w:p>
    <w:p w:rsidR="002D7DD7" w:rsidRPr="00DE6060" w:rsidRDefault="002D7DD7" w:rsidP="002D7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Для достижения целей Государст</w:t>
      </w:r>
      <w:r w:rsidR="00E44C7F" w:rsidRPr="00DE6060">
        <w:rPr>
          <w:rFonts w:ascii="Times New Roman" w:hAnsi="Times New Roman" w:cs="Times New Roman"/>
          <w:sz w:val="24"/>
          <w:szCs w:val="24"/>
        </w:rPr>
        <w:t>венной программы предусмотренные</w:t>
      </w:r>
      <w:r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E44C7F" w:rsidRPr="00DE6060">
        <w:rPr>
          <w:rFonts w:ascii="Times New Roman" w:hAnsi="Times New Roman" w:cs="Times New Roman"/>
          <w:sz w:val="24"/>
          <w:szCs w:val="24"/>
        </w:rPr>
        <w:t>Фондом задачи выполнены посредством организации информационных, образовательных, объединяющих мероприятий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на территории Чукотского автономного округа</w:t>
      </w:r>
      <w:r w:rsidR="00E44C7F" w:rsidRPr="00DE6060">
        <w:rPr>
          <w:rFonts w:ascii="Times New Roman" w:hAnsi="Times New Roman" w:cs="Times New Roman"/>
          <w:sz w:val="24"/>
          <w:szCs w:val="24"/>
        </w:rPr>
        <w:t>. Фонд</w:t>
      </w:r>
      <w:r w:rsidR="007A2172" w:rsidRPr="00DE6060">
        <w:rPr>
          <w:rFonts w:ascii="Times New Roman" w:hAnsi="Times New Roman" w:cs="Times New Roman"/>
          <w:sz w:val="24"/>
          <w:szCs w:val="24"/>
        </w:rPr>
        <w:t>,</w:t>
      </w:r>
      <w:r w:rsidR="00E44C7F" w:rsidRPr="00DE6060">
        <w:rPr>
          <w:rFonts w:ascii="Times New Roman" w:hAnsi="Times New Roman" w:cs="Times New Roman"/>
          <w:sz w:val="24"/>
          <w:szCs w:val="24"/>
        </w:rPr>
        <w:t xml:space="preserve"> посредством ряда реализованных при поддержке Правительства Чукотского автономного округа </w:t>
      </w:r>
      <w:r w:rsidR="007A2172" w:rsidRPr="00DE6060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="00E44C7F" w:rsidRPr="00DE6060">
        <w:rPr>
          <w:rFonts w:ascii="Times New Roman" w:hAnsi="Times New Roman" w:cs="Times New Roman"/>
          <w:sz w:val="24"/>
          <w:szCs w:val="24"/>
        </w:rPr>
        <w:t>положительно повлиял на следующее</w:t>
      </w:r>
      <w:r w:rsidRPr="00DE6060">
        <w:rPr>
          <w:rFonts w:ascii="Times New Roman" w:hAnsi="Times New Roman" w:cs="Times New Roman"/>
          <w:sz w:val="24"/>
          <w:szCs w:val="24"/>
        </w:rPr>
        <w:t>:</w:t>
      </w:r>
    </w:p>
    <w:p w:rsidR="002D7DD7" w:rsidRPr="00DE6060" w:rsidRDefault="002D7DD7" w:rsidP="00E44C7F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создание благоприятных условий для функционирования и развития малого и среднего предпринимательства</w:t>
      </w:r>
      <w:r w:rsidR="00E44C7F" w:rsidRPr="00DE6060">
        <w:rPr>
          <w:rFonts w:ascii="Times New Roman" w:hAnsi="Times New Roman" w:cs="Times New Roman"/>
          <w:sz w:val="24"/>
          <w:szCs w:val="24"/>
        </w:rPr>
        <w:t xml:space="preserve"> – за счет объединения на площадке 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созданного Центра «Мой бизнес» </w:t>
      </w:r>
      <w:r w:rsidR="00E44C7F" w:rsidRPr="00DE6060">
        <w:rPr>
          <w:rFonts w:ascii="Times New Roman" w:hAnsi="Times New Roman" w:cs="Times New Roman"/>
          <w:sz w:val="24"/>
          <w:szCs w:val="24"/>
        </w:rPr>
        <w:t>нескольких направлений поддержки в рамках национального проекта «Малое и среднее предпринимательство и поддержка индивидуальной предпринимательской инициативы»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2D7DD7" w:rsidRPr="00DE6060" w:rsidRDefault="002D7DD7" w:rsidP="00CD4CE9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создание благоприятных условий для роста предпринимательской активности населения в сельской местности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 - за счет объединения на площадке созданного Центра «Мой бизнес» нескольких направлений поддержки в рамках национального проекта «Малое и среднее предпринимательство и поддержка индивидуальной предпринимательской инициативы», реализации системного подхода в проведении информационных компаний, образовательных мероприятий, совершенствования качества оказываемых услуг, расширения информационных каналов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2D7DD7" w:rsidRPr="00DE6060" w:rsidRDefault="002D7DD7" w:rsidP="00CD4CE9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стимулирование деловой активности хозяйствующих субъектов, осуществляющих торговую деятельность, для сбалансированного развития потребительского рынка и повышения ценовой доступности товаров для населения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 - за счет объединения на площадке созданного Центра «Мой бизнес» нескольких направлений поддержки в рамках национального проекта «Малое и среднее предпринимательство и поддержка индивидуальной предпринимательской инициативы», реализации системного подхода в проведении информационных компаний, образовательных мероприятий, совершенствования качества оказываемых услуг, расширения информационных каналов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2D7DD7" w:rsidRPr="00DE6060" w:rsidRDefault="002D7DD7" w:rsidP="00CD4CE9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предотвращение роста уровня безработицы и напряженности на рынке труда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 – за счет индивидуального подхода к потребностям инициаторов инвестиционных проектов субъектов предпринимательства и подбора оптимального набора мер государственной поддержки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2D7DD7" w:rsidRPr="00DE6060" w:rsidRDefault="002D7DD7" w:rsidP="00CD4CE9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создание условий для повышения эффективности занятости населения и преодоления существующих проблем на рынке труда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 – за счет организации взаимодействия Центра занятости населения округа и системного подхода к проведению образовательных мероприятий для субъектов предпринимательства и </w:t>
      </w:r>
      <w:r w:rsidR="00193A9D" w:rsidRPr="00DE6060">
        <w:rPr>
          <w:rFonts w:ascii="Times New Roman" w:hAnsi="Times New Roman" w:cs="Times New Roman"/>
          <w:sz w:val="24"/>
          <w:szCs w:val="24"/>
        </w:rPr>
        <w:t>физических лиц,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 заинтересованных в осуществлении предпринимательской деятельности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2D7DD7" w:rsidRPr="00DE6060" w:rsidRDefault="002D7DD7" w:rsidP="00CD4CE9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привлечение трудовых ресурсов для реализации инвестиционных проектов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 – за счет организации взаимодействия Центра занятости населения округа, федеральных институтов развития (АРЧК, АСИ, АПИ, КРДВ, Корпорации МСП) и системного подхода к проведению образовательных мероприятий для субъектов предпринимательства и </w:t>
      </w:r>
      <w:r w:rsidR="00193A9D" w:rsidRPr="00DE6060">
        <w:rPr>
          <w:rFonts w:ascii="Times New Roman" w:hAnsi="Times New Roman" w:cs="Times New Roman"/>
          <w:sz w:val="24"/>
          <w:szCs w:val="24"/>
        </w:rPr>
        <w:t>физических лиц,</w:t>
      </w:r>
      <w:r w:rsidR="0004193D" w:rsidRPr="00DE6060">
        <w:rPr>
          <w:rFonts w:ascii="Times New Roman" w:hAnsi="Times New Roman" w:cs="Times New Roman"/>
          <w:sz w:val="24"/>
          <w:szCs w:val="24"/>
        </w:rPr>
        <w:t xml:space="preserve"> заинтересованных в осуществлении предпринимательской деятельности</w:t>
      </w:r>
      <w:r w:rsidR="00651BD3" w:rsidRPr="00DE6060">
        <w:rPr>
          <w:rFonts w:ascii="Times New Roman" w:hAnsi="Times New Roman" w:cs="Times New Roman"/>
          <w:sz w:val="24"/>
          <w:szCs w:val="24"/>
        </w:rPr>
        <w:t>.</w:t>
      </w:r>
    </w:p>
    <w:p w:rsidR="002D7DD7" w:rsidRPr="00DE6060" w:rsidRDefault="002D7DD7" w:rsidP="00651BD3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D7DD7" w:rsidRPr="00DE6060" w:rsidRDefault="00DD798C" w:rsidP="002D7D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Содействие</w:t>
      </w:r>
      <w:r w:rsidR="00651BD3" w:rsidRPr="00DE6060">
        <w:rPr>
          <w:rFonts w:ascii="Times New Roman" w:hAnsi="Times New Roman" w:cs="Times New Roman"/>
          <w:sz w:val="24"/>
          <w:szCs w:val="24"/>
        </w:rPr>
        <w:t xml:space="preserve"> Фонд</w:t>
      </w:r>
      <w:r w:rsidR="005537A4">
        <w:rPr>
          <w:rFonts w:ascii="Times New Roman" w:hAnsi="Times New Roman" w:cs="Times New Roman"/>
          <w:sz w:val="24"/>
          <w:szCs w:val="24"/>
        </w:rPr>
        <w:t>а в выполнении</w:t>
      </w:r>
      <w:r w:rsidR="00651BD3" w:rsidRPr="00DE6060">
        <w:rPr>
          <w:rFonts w:ascii="Times New Roman" w:hAnsi="Times New Roman" w:cs="Times New Roman"/>
          <w:sz w:val="24"/>
          <w:szCs w:val="24"/>
        </w:rPr>
        <w:t xml:space="preserve"> Чукотским автономным округом </w:t>
      </w:r>
      <w:r w:rsidR="002D7DD7" w:rsidRPr="00DE6060">
        <w:rPr>
          <w:rFonts w:ascii="Times New Roman" w:hAnsi="Times New Roman" w:cs="Times New Roman"/>
          <w:sz w:val="24"/>
          <w:szCs w:val="24"/>
        </w:rPr>
        <w:t>Целевы</w:t>
      </w:r>
      <w:r w:rsidR="0002766A" w:rsidRPr="00DE6060">
        <w:rPr>
          <w:rFonts w:ascii="Times New Roman" w:hAnsi="Times New Roman" w:cs="Times New Roman"/>
          <w:sz w:val="24"/>
          <w:szCs w:val="24"/>
        </w:rPr>
        <w:t>х индикаторов</w:t>
      </w:r>
      <w:r w:rsidR="002D7DD7" w:rsidRPr="00DE6060">
        <w:rPr>
          <w:rFonts w:ascii="Times New Roman" w:hAnsi="Times New Roman" w:cs="Times New Roman"/>
          <w:sz w:val="24"/>
          <w:szCs w:val="24"/>
        </w:rPr>
        <w:t xml:space="preserve"> Государственной подпрограммы по развити</w:t>
      </w:r>
      <w:r w:rsidR="00584AD0" w:rsidRPr="00DE6060">
        <w:rPr>
          <w:rFonts w:ascii="Times New Roman" w:hAnsi="Times New Roman" w:cs="Times New Roman"/>
          <w:sz w:val="24"/>
          <w:szCs w:val="24"/>
        </w:rPr>
        <w:t>ю</w:t>
      </w:r>
      <w:r w:rsidR="002D7DD7" w:rsidRPr="00DE6060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на территории Чукотского автономного округа </w:t>
      </w:r>
      <w:r w:rsidR="00651BD3" w:rsidRPr="00DE6060">
        <w:rPr>
          <w:rFonts w:ascii="Times New Roman" w:hAnsi="Times New Roman" w:cs="Times New Roman"/>
          <w:sz w:val="24"/>
          <w:szCs w:val="24"/>
        </w:rPr>
        <w:t xml:space="preserve">осуществлялось в рамках выполнения </w:t>
      </w:r>
      <w:r w:rsidR="0002766A" w:rsidRPr="00DE6060">
        <w:rPr>
          <w:rFonts w:ascii="Times New Roman" w:hAnsi="Times New Roman" w:cs="Times New Roman"/>
          <w:sz w:val="24"/>
          <w:szCs w:val="24"/>
        </w:rPr>
        <w:t xml:space="preserve">функций Центра поддержки предпринимательства, региональной гарантийной организации, специализированной организации по привлечению </w:t>
      </w:r>
      <w:r w:rsidR="007A2172" w:rsidRPr="00DE6060">
        <w:rPr>
          <w:rFonts w:ascii="Times New Roman" w:hAnsi="Times New Roman" w:cs="Times New Roman"/>
          <w:sz w:val="24"/>
          <w:szCs w:val="24"/>
        </w:rPr>
        <w:t>инвестиций и работе с</w:t>
      </w:r>
      <w:r w:rsidR="0002766A" w:rsidRPr="00DE6060">
        <w:rPr>
          <w:rFonts w:ascii="Times New Roman" w:hAnsi="Times New Roman" w:cs="Times New Roman"/>
          <w:sz w:val="24"/>
          <w:szCs w:val="24"/>
        </w:rPr>
        <w:t xml:space="preserve"> инвестор</w:t>
      </w:r>
      <w:r w:rsidR="007A2172" w:rsidRPr="00DE6060">
        <w:rPr>
          <w:rFonts w:ascii="Times New Roman" w:hAnsi="Times New Roman" w:cs="Times New Roman"/>
          <w:sz w:val="24"/>
          <w:szCs w:val="24"/>
        </w:rPr>
        <w:t>ами</w:t>
      </w:r>
      <w:r w:rsidR="0002766A" w:rsidRPr="00DE6060">
        <w:rPr>
          <w:rFonts w:ascii="Times New Roman" w:hAnsi="Times New Roman" w:cs="Times New Roman"/>
          <w:sz w:val="24"/>
          <w:szCs w:val="24"/>
        </w:rPr>
        <w:t xml:space="preserve"> в режиме «одного окна»</w:t>
      </w:r>
      <w:r w:rsidR="002F4C32" w:rsidRPr="00DE6060">
        <w:rPr>
          <w:rFonts w:ascii="Times New Roman" w:hAnsi="Times New Roman" w:cs="Times New Roman"/>
          <w:sz w:val="24"/>
          <w:szCs w:val="24"/>
        </w:rPr>
        <w:t xml:space="preserve">. В числе Целевых </w:t>
      </w:r>
      <w:r w:rsidR="00787F4C" w:rsidRPr="00DE6060">
        <w:rPr>
          <w:rFonts w:ascii="Times New Roman" w:hAnsi="Times New Roman" w:cs="Times New Roman"/>
          <w:sz w:val="24"/>
          <w:szCs w:val="24"/>
        </w:rPr>
        <w:t>показателей</w:t>
      </w:r>
      <w:r w:rsidR="002D7DD7" w:rsidRPr="00DE6060">
        <w:rPr>
          <w:rFonts w:ascii="Times New Roman" w:hAnsi="Times New Roman" w:cs="Times New Roman"/>
          <w:sz w:val="24"/>
          <w:szCs w:val="24"/>
        </w:rPr>
        <w:t>: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совместителей), занятых на микро</w:t>
      </w:r>
      <w:r w:rsidR="00CE1D70" w:rsidRPr="00DE6060">
        <w:rPr>
          <w:rFonts w:ascii="Times New Roman" w:hAnsi="Times New Roman" w:cs="Times New Roman"/>
          <w:sz w:val="24"/>
          <w:szCs w:val="24"/>
        </w:rPr>
        <w:t>-</w:t>
      </w:r>
      <w:r w:rsidRPr="00DE6060">
        <w:rPr>
          <w:rFonts w:ascii="Times New Roman" w:hAnsi="Times New Roman" w:cs="Times New Roman"/>
          <w:sz w:val="24"/>
          <w:szCs w:val="24"/>
        </w:rPr>
        <w:t>предприятиях, малых и средних предприятиях и у индивидуальных предпринимателей, в общей численности занятого населения;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 (включая индивидуальных предпринимателей) в расчете на 1 тыс. человек населения Чукотского автономного округа;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количество вновь созданных рабочих мест (включая вновь зарегистрированных индивидуальных предпринимателей);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предпринимательства, получивших государственную поддержку;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исполнение расходных обязательств за счет субсидий, предоставленных из федерального бюджета на реализацию мероприятий по поддержке малого и среднего предпринимательства;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размер собственных средств субъектов малого и среднего предпринимательства, получивших государственную поддержку в целях содействия развития лизинга оборудования субъектами малого и среднего предпринимательства, направленных на приобретение оборудования;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количество проведенных мероприятий для субъектов малого и среднего предпринимательства в области ремесел, народных художественных промыслов, сельского экологического туризма, в том числе круглых столов, семинаров и тренингов;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обеспечение соблюдения графика выполнения мероприятий по строительству (вводу в эксплуатацию) объекта "Энергоустановка" промышленного парка "Анадырь", установленного заключенным с Министерством экономического развития Российской Федерации соглашением;</w:t>
      </w:r>
    </w:p>
    <w:p w:rsidR="002D7DD7" w:rsidRPr="00DE6060" w:rsidRDefault="002D7DD7" w:rsidP="00CD4CE9">
      <w:pPr>
        <w:pStyle w:val="ConsPlusNormal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оборот продукции (услуг), производимой малыми предприятиями, в том числе микро</w:t>
      </w:r>
      <w:r w:rsidR="00E378B2" w:rsidRPr="00DE6060">
        <w:rPr>
          <w:rFonts w:ascii="Times New Roman" w:hAnsi="Times New Roman" w:cs="Times New Roman"/>
          <w:sz w:val="24"/>
          <w:szCs w:val="24"/>
        </w:rPr>
        <w:t>-</w:t>
      </w:r>
      <w:r w:rsidRPr="00DE6060">
        <w:rPr>
          <w:rFonts w:ascii="Times New Roman" w:hAnsi="Times New Roman" w:cs="Times New Roman"/>
          <w:sz w:val="24"/>
          <w:szCs w:val="24"/>
        </w:rPr>
        <w:t>предприятиями, и индивидуальными предпринимателями.</w:t>
      </w:r>
    </w:p>
    <w:p w:rsidR="002D7DD7" w:rsidRPr="00DE6060" w:rsidRDefault="002D7DD7" w:rsidP="002D7DD7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2D7DD7" w:rsidRPr="00DE6060" w:rsidRDefault="002D7DD7" w:rsidP="002D7DD7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Экономические санкции ряда зарубежных стран определяют необходимость создания инфраструктуры импортозамещения внутри страны</w:t>
      </w:r>
      <w:r w:rsidR="00605B4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внутри каждого её региона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 Такие структурные изменения невозможны без значительного повышения инвестиционной активности субъектов МСП и реализации ими проектов по расширению и модернизации производства.</w:t>
      </w:r>
      <w:r w:rsidR="00054F8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целей содействия развития экспортоориентированных предприятий из числа субъектов МСП в регионе Фонд принял на себя обязательство организации с 01.01.2020г Центра поддержки экспорта.</w:t>
      </w:r>
    </w:p>
    <w:p w:rsidR="009747A9" w:rsidRPr="00DE6060" w:rsidRDefault="009747A9" w:rsidP="002D7DD7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hAnsi="Times New Roman" w:cs="Times New Roman"/>
          <w:b/>
          <w:sz w:val="24"/>
          <w:szCs w:val="24"/>
        </w:rPr>
        <w:t>План мероприятий («дорожной карты») внедрения в Чукотском автономном округе лучших практик Национального рейтинга состояния инвестиционного климата в субъектах Российской Федерации»</w:t>
      </w:r>
      <w:r w:rsidRPr="00DE6060">
        <w:rPr>
          <w:rFonts w:ascii="Times New Roman" w:hAnsi="Times New Roman" w:cs="Times New Roman"/>
          <w:sz w:val="24"/>
          <w:szCs w:val="24"/>
        </w:rPr>
        <w:t>.</w:t>
      </w:r>
    </w:p>
    <w:p w:rsidR="002D7DD7" w:rsidRPr="00DE6060" w:rsidRDefault="002D7DD7" w:rsidP="002D7DD7">
      <w:pPr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Распоряжением губернатора Чукотского автономного округа от 15.09.2015г 166-рг утвержден «</w:t>
      </w:r>
      <w:r w:rsidRPr="00DE6060">
        <w:rPr>
          <w:rFonts w:ascii="Times New Roman" w:hAnsi="Times New Roman" w:cs="Times New Roman"/>
          <w:b/>
          <w:sz w:val="24"/>
          <w:szCs w:val="24"/>
        </w:rPr>
        <w:t>План мероприятий («дорожной карты») внедрения в Чукотском автономном округе лучших практик Национального рейтинга состояния инвестиционного климата в субъектах Российской Федерации»</w:t>
      </w:r>
      <w:r w:rsidRPr="00DE6060">
        <w:rPr>
          <w:rFonts w:ascii="Times New Roman" w:hAnsi="Times New Roman" w:cs="Times New Roman"/>
          <w:sz w:val="24"/>
          <w:szCs w:val="24"/>
        </w:rPr>
        <w:t xml:space="preserve">. Распоряжением Губернатора от 02.08.2016г №203-рг в целях повышения инвестиционной привлекательности Чукотского автономного округа актуализирован перечень </w:t>
      </w:r>
      <w:r w:rsidR="00193A9D" w:rsidRPr="00DE6060">
        <w:rPr>
          <w:rFonts w:ascii="Times New Roman" w:hAnsi="Times New Roman" w:cs="Times New Roman"/>
          <w:sz w:val="24"/>
          <w:szCs w:val="24"/>
        </w:rPr>
        <w:t>плановых мероприятий,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отраженных в «дорожной карте». В числе перечисленных изменений </w:t>
      </w:r>
      <w:r w:rsidR="00EE0EA6" w:rsidRPr="00DE6060">
        <w:rPr>
          <w:rFonts w:ascii="Times New Roman" w:hAnsi="Times New Roman" w:cs="Times New Roman"/>
          <w:sz w:val="24"/>
          <w:szCs w:val="24"/>
        </w:rPr>
        <w:t xml:space="preserve">«Дорожной карты» </w:t>
      </w:r>
      <w:r w:rsidRPr="00DE6060">
        <w:rPr>
          <w:rFonts w:ascii="Times New Roman" w:hAnsi="Times New Roman" w:cs="Times New Roman"/>
          <w:sz w:val="24"/>
          <w:szCs w:val="24"/>
        </w:rPr>
        <w:t>запланирован ряд мероприятий, касающихся непосредственно деятельности Фонда</w:t>
      </w:r>
      <w:r w:rsidR="00A027A5" w:rsidRPr="00DE6060">
        <w:rPr>
          <w:rFonts w:ascii="Times New Roman" w:hAnsi="Times New Roman" w:cs="Times New Roman"/>
          <w:sz w:val="24"/>
          <w:szCs w:val="24"/>
        </w:rPr>
        <w:t>. Более подробно мероприятия зоны ответственности Фонда приведены в разделе 3. «Приоритетные направления деятельности Фонда в 2017-2019 годах».</w:t>
      </w:r>
      <w:r w:rsidRPr="00DE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560" w:rsidRPr="00DE6060" w:rsidRDefault="00742560" w:rsidP="002D7DD7">
      <w:pPr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4CC" w:rsidRPr="00DE6060" w:rsidRDefault="0017779C" w:rsidP="0017779C">
      <w:pPr>
        <w:spacing w:line="24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b/>
          <w:sz w:val="24"/>
          <w:szCs w:val="24"/>
        </w:rPr>
        <w:t>1.</w:t>
      </w:r>
      <w:r w:rsidR="005E1E0B" w:rsidRPr="00DE6060">
        <w:rPr>
          <w:rFonts w:ascii="Times New Roman" w:hAnsi="Times New Roman" w:cs="Times New Roman"/>
          <w:b/>
          <w:sz w:val="24"/>
          <w:szCs w:val="24"/>
        </w:rPr>
        <w:t>5</w:t>
      </w:r>
      <w:r w:rsidRPr="00DE6060">
        <w:rPr>
          <w:rFonts w:ascii="Times New Roman" w:hAnsi="Times New Roman" w:cs="Times New Roman"/>
          <w:b/>
          <w:sz w:val="24"/>
          <w:szCs w:val="24"/>
        </w:rPr>
        <w:t xml:space="preserve">. Государственная поддержка </w:t>
      </w:r>
      <w:r w:rsidR="00666C66" w:rsidRPr="00DE6060">
        <w:rPr>
          <w:rFonts w:ascii="Times New Roman" w:hAnsi="Times New Roman" w:cs="Times New Roman"/>
          <w:b/>
          <w:sz w:val="24"/>
          <w:szCs w:val="24"/>
        </w:rPr>
        <w:t xml:space="preserve">субъектов </w:t>
      </w:r>
      <w:r w:rsidRPr="00DE6060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</w:p>
    <w:p w:rsidR="005E1E0B" w:rsidRPr="00DE6060" w:rsidRDefault="005E1E0B" w:rsidP="003A0BDD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1.5.1.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hAnsi="Times New Roman" w:cs="Times New Roman"/>
          <w:b/>
          <w:sz w:val="24"/>
          <w:szCs w:val="24"/>
        </w:rPr>
        <w:t>Государственная поддержка субъектов бизнеса в целом, в т.ч. крупного сегмента бизнеса</w:t>
      </w:r>
    </w:p>
    <w:p w:rsidR="008040EC" w:rsidRPr="00DE6060" w:rsidRDefault="00EB4DC7" w:rsidP="003A0BDD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Механизмы жизнеобеспечения и финансовой поддержки крупного бизнеса в Российской Федерации развиты на достаточном уровне для удовлетворения спроса и формирования конкурентного предложения. В т.ч. </w:t>
      </w:r>
      <w:r w:rsidR="00DC330A" w:rsidRPr="00DE6060">
        <w:rPr>
          <w:rFonts w:ascii="Times New Roman" w:eastAsia="Times New Roman" w:hAnsi="Times New Roman" w:cs="Times New Roman"/>
          <w:sz w:val="24"/>
          <w:szCs w:val="24"/>
        </w:rPr>
        <w:t>Фондом для инициаторов инвестиционных проектов на регулярной основе предлагались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механизмы предоставления услуг иностранного капитала и передовых технологий обслуживания крупных предприятий и корпораций</w:t>
      </w:r>
      <w:r w:rsidR="00510402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различной отраслевой направленности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330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т.ч. осуществлено позиционирование ряда проектов для целей привлечения инвесторов на значимых площадках форумов в пределах Российской Федерации, размещение инвестиционных проектов на интерактивных площадках инвестиционных фондов федерального уровня (РФПИ, ФРП, ФРДВ).</w:t>
      </w:r>
    </w:p>
    <w:p w:rsidR="00510402" w:rsidRPr="00DE6060" w:rsidRDefault="005F7122" w:rsidP="003A0BDD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2560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рамках соглашений о сотрудничестве с партнёрами Фонд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осуществлял функции «одного окна» для инвесторов</w:t>
      </w:r>
      <w:r w:rsidR="00742560" w:rsidRPr="00DE6060">
        <w:rPr>
          <w:rFonts w:ascii="Times New Roman" w:eastAsia="Times New Roman" w:hAnsi="Times New Roman" w:cs="Times New Roman"/>
          <w:sz w:val="24"/>
          <w:szCs w:val="24"/>
        </w:rPr>
        <w:t>, в т.ч. реализ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ованы, путём вовлечения инвесторов к присвоению статуса резидента,</w:t>
      </w:r>
      <w:r w:rsidR="00742560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механизмы </w:t>
      </w:r>
      <w:r w:rsidR="00295EFF" w:rsidRPr="00DE6060">
        <w:rPr>
          <w:rFonts w:ascii="Times New Roman" w:eastAsia="Times New Roman" w:hAnsi="Times New Roman" w:cs="Times New Roman"/>
          <w:sz w:val="24"/>
          <w:szCs w:val="24"/>
        </w:rPr>
        <w:t>специальных эк</w:t>
      </w:r>
      <w:r w:rsidR="00B26C33" w:rsidRPr="00DE60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95EFF" w:rsidRPr="00DE6060">
        <w:rPr>
          <w:rFonts w:ascii="Times New Roman" w:eastAsia="Times New Roman" w:hAnsi="Times New Roman" w:cs="Times New Roman"/>
          <w:sz w:val="24"/>
          <w:szCs w:val="24"/>
        </w:rPr>
        <w:t>номических зон</w:t>
      </w:r>
      <w:r w:rsidR="00B26C3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специальных налоговых режимов</w:t>
      </w:r>
      <w:r w:rsidR="001E5A7B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предприятий крупнейшего, крупного, среднего и малого бизнеса.</w:t>
      </w:r>
    </w:p>
    <w:p w:rsidR="0037738F" w:rsidRPr="00DE6060" w:rsidRDefault="0037738F" w:rsidP="003A0BDD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 пределах Чукотского автономного округа для бизнеса разного уровня реализованы механизмы</w:t>
      </w:r>
      <w:r w:rsidR="00D07210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стимулирования экономической деятельности, требующие зачастую персональной координации и помощи в оформлении бизнес-планов</w:t>
      </w:r>
      <w:r w:rsidR="00A367B8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 стороны Фонда</w:t>
      </w:r>
      <w:r w:rsidR="00D07210" w:rsidRPr="00DE6060">
        <w:rPr>
          <w:rFonts w:ascii="Times New Roman" w:eastAsia="Times New Roman" w:hAnsi="Times New Roman" w:cs="Times New Roman"/>
          <w:sz w:val="24"/>
          <w:szCs w:val="24"/>
        </w:rPr>
        <w:t>, в т.ч.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6C33" w:rsidRPr="00DE6060" w:rsidRDefault="00D37A09" w:rsidP="00CD4CE9">
      <w:pPr>
        <w:pStyle w:val="a4"/>
        <w:numPr>
          <w:ilvl w:val="0"/>
          <w:numId w:val="54"/>
        </w:numPr>
        <w:spacing w:line="238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 </w:t>
      </w:r>
      <w:r w:rsidRPr="005537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7D2A" w:rsidRPr="005537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Чукотка</w:t>
      </w:r>
      <w:r w:rsidR="008A07C5" w:rsidRPr="005537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0DDF" w:rsidRPr="00553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38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её </w:t>
      </w:r>
      <w:r w:rsidR="00C20DD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37738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="00C20DD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r w:rsidR="000F2E92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№ 876 от 21.08.2015</w:t>
      </w:r>
      <w:r w:rsidR="005537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F2E92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территории опережающего социально-экономического развития «Беринговский»». Деятельность резидентов территорий опережающего развития регулируется Федеральный закон № 473-ФЗ от 29.12.2014 «О территориях опережающего социально-экономического развития в Российской Федерации».</w:t>
      </w:r>
      <w:r w:rsidR="00BD6F4A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6F4A" w:rsidRPr="00DE6060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субъектов предпринимательства получивших статус резидента действует особый правовой режим осуществления предпринимательской и инвестиционной деятельности. Резиденты территории опережающего развития получают ряд преференций:</w:t>
      </w:r>
      <w:r w:rsidR="00BD6F4A" w:rsidRPr="00DE60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Налоговые льготы" w:history="1">
        <w:r w:rsidR="00BD6F4A" w:rsidRPr="00DE60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налоговые льготы</w:t>
        </w:r>
      </w:hyperlink>
      <w:r w:rsidR="00BD6F4A" w:rsidRPr="00DE6060">
        <w:rPr>
          <w:rFonts w:ascii="Times New Roman" w:hAnsi="Times New Roman" w:cs="Times New Roman"/>
          <w:sz w:val="24"/>
          <w:szCs w:val="24"/>
          <w:shd w:val="clear" w:color="auto" w:fill="FFFFFF"/>
        </w:rPr>
        <w:t>, упрощение таможенных и визовых процедур, максимальное снижение административных барьеров.</w:t>
      </w:r>
    </w:p>
    <w:p w:rsidR="0037738F" w:rsidRPr="00DE6060" w:rsidRDefault="0037738F" w:rsidP="00CD4CE9">
      <w:pPr>
        <w:pStyle w:val="a4"/>
        <w:numPr>
          <w:ilvl w:val="0"/>
          <w:numId w:val="54"/>
        </w:numPr>
        <w:spacing w:line="238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Свободный порт Владивосток </w:t>
      </w:r>
      <w:r w:rsidR="00354182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его действие распространено на территорию городского округа Певек с июля 2016 года. </w:t>
      </w:r>
      <w:r w:rsidR="005D667C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резидентов регулируется </w:t>
      </w:r>
      <w:r w:rsidR="00E63241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212-ФЗ</w:t>
      </w:r>
      <w:r w:rsidR="00564F4A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241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13.07.2015г «О свободном порте Владивосток».</w:t>
      </w:r>
      <w:r w:rsidR="0012042C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42C" w:rsidRPr="00DE6060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субъектов предпринимательства получивших статус резидента действует особый правовой режим осуществления предпринимательской и инвестиционной деятельности. Резиденты Свободного порта получают ряд преференций:</w:t>
      </w:r>
      <w:r w:rsidR="0012042C" w:rsidRPr="00DE60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tooltip="Налоговые льготы" w:history="1">
        <w:r w:rsidR="0012042C" w:rsidRPr="00DE60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налоговые льготы</w:t>
        </w:r>
      </w:hyperlink>
      <w:r w:rsidR="0012042C" w:rsidRPr="00DE6060">
        <w:rPr>
          <w:rFonts w:ascii="Times New Roman" w:hAnsi="Times New Roman" w:cs="Times New Roman"/>
          <w:sz w:val="24"/>
          <w:szCs w:val="24"/>
          <w:shd w:val="clear" w:color="auto" w:fill="FFFFFF"/>
        </w:rPr>
        <w:t>, упрощение таможенных и визовых процедур, максимальное снижение административных барьеров.</w:t>
      </w:r>
    </w:p>
    <w:p w:rsidR="001902B4" w:rsidRPr="00DE6060" w:rsidRDefault="001902B4" w:rsidP="001902B4">
      <w:pPr>
        <w:spacing w:after="0" w:line="276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 начала деятельности Фонда оформлено 57 проектов инвесторов, 51 из них получили статус резидента ТОР «Чукотка» с заявленным объемом инвестиций в размере 43 005,25 млн.руб. и планируемым созданием 3329 рабочих мест.</w:t>
      </w:r>
    </w:p>
    <w:p w:rsidR="001902B4" w:rsidRPr="00DE6060" w:rsidRDefault="001902B4" w:rsidP="001902B4">
      <w:pPr>
        <w:spacing w:after="0" w:line="276" w:lineRule="auto"/>
        <w:ind w:left="66" w:firstLine="643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За 4 года работы с резидентами ТОСЭР «Чукотка» одно соглашение было расторгнуто в связи с закрытием бизнеса инициатором проекта, а также вносились изменения в условия соглашений и по состоянию на 01 января 2020 года количество резидентов составило – 50, заявленный объем инвестиций – 36 968,09 млн.руб., заявленное количество новых рабочих мест – 3490.</w:t>
      </w:r>
    </w:p>
    <w:p w:rsidR="00855011" w:rsidRPr="00DE6060" w:rsidRDefault="00855011" w:rsidP="008550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 2017 по 2019 годы подготовлены и получили статус резидентов СПВ в границах городского округа Певек 7 проектов с заявленным объемом инвестиций в размере 154,29 млн. руб. и созданием 81 рабочего места. Изменений в соглашения не вносилось.</w:t>
      </w:r>
    </w:p>
    <w:p w:rsidR="001902B4" w:rsidRPr="00DE6060" w:rsidRDefault="001902B4" w:rsidP="001902B4">
      <w:pPr>
        <w:pStyle w:val="a4"/>
        <w:spacing w:line="238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1E8" w:rsidRPr="00DE6060" w:rsidRDefault="008471E8" w:rsidP="003A0BDD">
      <w:pPr>
        <w:spacing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1.5.2.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hAnsi="Times New Roman" w:cs="Times New Roman"/>
          <w:b/>
          <w:sz w:val="24"/>
          <w:szCs w:val="24"/>
        </w:rPr>
        <w:t>Государственная поддержка субъектов малого и среднего сегментов бизнеса</w:t>
      </w:r>
    </w:p>
    <w:p w:rsidR="006D3CC5" w:rsidRPr="00DE6060" w:rsidRDefault="00ED0CF1" w:rsidP="000A6115">
      <w:pPr>
        <w:tabs>
          <w:tab w:val="left" w:pos="1316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Задача Фонда повысить уров</w:t>
      </w:r>
      <w:r w:rsidR="00A97D12" w:rsidRPr="00DE6060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ь информированности и всест</w:t>
      </w:r>
      <w:r w:rsidR="00AD21DF" w:rsidRPr="00DE6060">
        <w:rPr>
          <w:rFonts w:ascii="Times New Roman" w:eastAsia="Times New Roman" w:hAnsi="Times New Roman" w:cs="Times New Roman"/>
          <w:sz w:val="24"/>
          <w:szCs w:val="24"/>
        </w:rPr>
        <w:t>оронней поддержки субъектов МСП</w:t>
      </w:r>
      <w:r w:rsidR="00B5155B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выполнена</w:t>
      </w:r>
      <w:r w:rsidR="00AD21DF" w:rsidRPr="00DE6060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9751B2" w:rsidRPr="00DE6060">
        <w:rPr>
          <w:rFonts w:ascii="Times New Roman" w:eastAsia="Times New Roman" w:hAnsi="Times New Roman" w:cs="Times New Roman"/>
          <w:sz w:val="24"/>
          <w:szCs w:val="24"/>
        </w:rPr>
        <w:t xml:space="preserve">т.ч. </w:t>
      </w:r>
      <w:r w:rsidR="00AD21DF" w:rsidRPr="00DE6060">
        <w:rPr>
          <w:rFonts w:ascii="Times New Roman" w:eastAsia="Times New Roman" w:hAnsi="Times New Roman" w:cs="Times New Roman"/>
          <w:sz w:val="24"/>
          <w:szCs w:val="24"/>
        </w:rPr>
        <w:t>обеспеч</w:t>
      </w:r>
      <w:r w:rsidR="00B5155B" w:rsidRPr="00DE6060">
        <w:rPr>
          <w:rFonts w:ascii="Times New Roman" w:eastAsia="Times New Roman" w:hAnsi="Times New Roman" w:cs="Times New Roman"/>
          <w:sz w:val="24"/>
          <w:szCs w:val="24"/>
        </w:rPr>
        <w:t>ено</w:t>
      </w:r>
      <w:r w:rsidR="00AD21D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достижение поставленных целей </w:t>
      </w:r>
      <w:r w:rsidR="009751B2" w:rsidRPr="00DE6060">
        <w:rPr>
          <w:rFonts w:ascii="Times New Roman" w:eastAsia="Times New Roman" w:hAnsi="Times New Roman" w:cs="Times New Roman"/>
          <w:sz w:val="24"/>
          <w:szCs w:val="24"/>
        </w:rPr>
        <w:t xml:space="preserve">за счет реализации функций </w:t>
      </w:r>
      <w:r w:rsidR="00AD21DF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B5155B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21D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9751B2" w:rsidRPr="00DE6060">
        <w:rPr>
          <w:rFonts w:ascii="Times New Roman" w:eastAsia="Times New Roman" w:hAnsi="Times New Roman" w:cs="Times New Roman"/>
          <w:sz w:val="24"/>
          <w:szCs w:val="24"/>
        </w:rPr>
        <w:t xml:space="preserve">субъекта государственной инфраструктуры поддержки предпринимательства, и </w:t>
      </w:r>
      <w:r w:rsidR="00AD21DF" w:rsidRPr="00DE60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B5155B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национального проекта «Малое и среднее предпринимательство и поддержка индивидуальной предпринимательской инициативы»</w:t>
      </w:r>
      <w:r w:rsidR="00D1537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двух направлениях: Центр поддержки предпринимательства, региональная гарантийная организация</w:t>
      </w:r>
      <w:r w:rsidR="009751B2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537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Реализация еще трёх направлений национального проекта «Малое и среднее предпринимательство и поддержка индивидуальной предпринимательской инициативы» запланирована Фондом, в соответствии с распоряжениями Правительства Чукотского автономного округа на 2020 год, в </w:t>
      </w:r>
      <w:proofErr w:type="spellStart"/>
      <w:r w:rsidR="00D15373" w:rsidRPr="00DE606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D15373" w:rsidRPr="00DE6060">
        <w:rPr>
          <w:rFonts w:ascii="Times New Roman" w:eastAsia="Times New Roman" w:hAnsi="Times New Roman" w:cs="Times New Roman"/>
          <w:sz w:val="24"/>
          <w:szCs w:val="24"/>
        </w:rPr>
        <w:t xml:space="preserve">. Центр поддержки экспорта, Центр народно-художественных промыслов, сельского и экологического туризма, </w:t>
      </w:r>
      <w:r w:rsidR="00FD0A5F" w:rsidRPr="00DE6060">
        <w:rPr>
          <w:rFonts w:ascii="Times New Roman" w:eastAsia="Times New Roman" w:hAnsi="Times New Roman" w:cs="Times New Roman"/>
          <w:sz w:val="24"/>
          <w:szCs w:val="24"/>
        </w:rPr>
        <w:t>Центр компетенций в сфере сельскохозяйственной кооперации и поддержки фермеров</w:t>
      </w:r>
      <w:r w:rsidR="00D15373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3A0BDD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ED0CF1" w:rsidP="00ED0CF1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развитие МСП является одним из главных приоритетов государства. В соответствии с постановлением Правительства Российской Федерации от 15.04.2014 № 316 «Об утверждении Государственной программы Российской Федерации «Экономическое развитие и инновационная экономика» доля занятых в МСП должна увеличиться до 29%, количество субъектов МСП в расчете на 1 тыс. человек населения Российской Федерации – до 52,7 единицы к 2020 году.</w:t>
      </w:r>
    </w:p>
    <w:p w:rsidR="006D3CC5" w:rsidRPr="00DE6060" w:rsidRDefault="006D3CC5" w:rsidP="009B2904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Это означает, что количество МСП</w:t>
      </w:r>
      <w:r w:rsidR="004C2DA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России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должно увеличиться до 7,7 млн единиц, количество занятых в секторе МСП – до 19,5 млн</w:t>
      </w:r>
      <w:r w:rsidR="009D7A11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A5FBD" w:rsidRPr="00DE6060" w:rsidRDefault="00AA5FBD" w:rsidP="009B2904">
      <w:pPr>
        <w:spacing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При содействии Фонда в Чукотском автономном округе создано за период 201</w:t>
      </w:r>
      <w:r w:rsidR="0052705E" w:rsidRPr="00DE60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-2019гг </w:t>
      </w:r>
      <w:r w:rsidR="0052705E" w:rsidRPr="00DE606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субъект</w:t>
      </w:r>
      <w:r w:rsidR="0052705E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МСП</w:t>
      </w:r>
      <w:r w:rsidR="00DB2383" w:rsidRPr="00DE6060">
        <w:rPr>
          <w:rFonts w:ascii="Times New Roman" w:eastAsia="Times New Roman" w:hAnsi="Times New Roman" w:cs="Times New Roman"/>
          <w:sz w:val="24"/>
          <w:szCs w:val="24"/>
        </w:rPr>
        <w:t xml:space="preserve"> (или +3% к средней численности субъектов МСП в округе)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705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2016-2017гг показатель не оценивался.</w:t>
      </w:r>
    </w:p>
    <w:p w:rsidR="00E21194" w:rsidRPr="00DE6060" w:rsidRDefault="00A304B0" w:rsidP="00DF798D">
      <w:pPr>
        <w:spacing w:line="23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F798D" w:rsidRPr="00DE606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50545" w:rsidRPr="00DE60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21194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Институты поддержки </w:t>
      </w:r>
      <w:r w:rsidR="006F520B" w:rsidRPr="00DE6060">
        <w:rPr>
          <w:rFonts w:ascii="Times New Roman" w:eastAsia="Times New Roman" w:hAnsi="Times New Roman" w:cs="Times New Roman"/>
          <w:b/>
          <w:sz w:val="24"/>
          <w:szCs w:val="24"/>
        </w:rPr>
        <w:t>предпринимательства</w:t>
      </w:r>
      <w:r w:rsidR="00E21194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DDD" w:rsidRPr="00DE6060">
        <w:rPr>
          <w:rFonts w:ascii="Times New Roman" w:eastAsia="Times New Roman" w:hAnsi="Times New Roman" w:cs="Times New Roman"/>
          <w:b/>
          <w:sz w:val="24"/>
          <w:szCs w:val="24"/>
        </w:rPr>
        <w:t>и их цели</w:t>
      </w:r>
    </w:p>
    <w:p w:rsidR="006F520B" w:rsidRPr="00DE6060" w:rsidRDefault="006F520B" w:rsidP="00DF798D">
      <w:pPr>
        <w:spacing w:line="23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целом система институтов </w:t>
      </w:r>
      <w:r w:rsidR="00054D09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 предоставлению услуг 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поддержк</w:t>
      </w:r>
      <w:r w:rsidR="00054D09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бизнеса делится на два блока:</w:t>
      </w:r>
    </w:p>
    <w:p w:rsidR="006F520B" w:rsidRPr="00DE6060" w:rsidRDefault="006F520B" w:rsidP="00CD4CE9">
      <w:pPr>
        <w:pStyle w:val="a4"/>
        <w:numPr>
          <w:ilvl w:val="0"/>
          <w:numId w:val="62"/>
        </w:numPr>
        <w:spacing w:line="2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блок поддержки бизнеса в целом, в т.ч. преимущественно </w:t>
      </w:r>
      <w:r w:rsidR="00054D09" w:rsidRPr="00DE6060">
        <w:rPr>
          <w:rFonts w:ascii="Times New Roman" w:eastAsia="Times New Roman" w:hAnsi="Times New Roman" w:cs="Times New Roman"/>
          <w:sz w:val="24"/>
          <w:szCs w:val="24"/>
        </w:rPr>
        <w:t>крупный сектор экономики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520B" w:rsidRPr="00DE6060" w:rsidRDefault="006F520B" w:rsidP="00CD4CE9">
      <w:pPr>
        <w:pStyle w:val="a4"/>
        <w:numPr>
          <w:ilvl w:val="0"/>
          <w:numId w:val="62"/>
        </w:numPr>
        <w:spacing w:line="2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блок поддержки среднего и малого бизнеса.</w:t>
      </w:r>
    </w:p>
    <w:p w:rsidR="00ED1506" w:rsidRPr="00DE6060" w:rsidRDefault="00ED1506" w:rsidP="00ED1506">
      <w:pPr>
        <w:pStyle w:val="a4"/>
        <w:spacing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E06" w:rsidRPr="00DE6060" w:rsidRDefault="00ED1506" w:rsidP="00ED1506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регионе распоряжением Правительства Чукотского автономного округа создан и успешно функционирует </w:t>
      </w:r>
      <w:r w:rsidR="005537A4">
        <w:rPr>
          <w:rFonts w:ascii="Times New Roman" w:eastAsia="Times New Roman" w:hAnsi="Times New Roman" w:cs="Times New Roman"/>
          <w:sz w:val="24"/>
          <w:szCs w:val="24"/>
        </w:rPr>
        <w:t>Некоммерческая организация</w:t>
      </w:r>
      <w:r w:rsidR="00DE003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«Фонд развития </w:t>
      </w:r>
      <w:r w:rsidR="005537A4">
        <w:rPr>
          <w:rFonts w:ascii="Times New Roman" w:eastAsia="Times New Roman" w:hAnsi="Times New Roman" w:cs="Times New Roman"/>
          <w:b/>
          <w:sz w:val="24"/>
          <w:szCs w:val="24"/>
        </w:rPr>
        <w:t>Чукотки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615F0A" w:rsidRPr="00DE606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F0A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создан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для целей консолидации и популяризации использования существующих механизмов поддержки субъектов предпринимательства разного уровня на территории Чукотского АО и активизации инвестиционной деятельности в целом.</w:t>
      </w:r>
      <w:r w:rsidR="009B2E2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1506" w:rsidRPr="00DE6060" w:rsidRDefault="009B2E25" w:rsidP="00ED1506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На 31 декабря 2019 года на базе Фонда создано за период 2017-2019гг и объединено несколько направлений поддержки, в </w:t>
      </w:r>
      <w:proofErr w:type="spellStart"/>
      <w:r w:rsidRPr="00DE606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</w:p>
    <w:p w:rsidR="009B2E25" w:rsidRPr="00DE6060" w:rsidRDefault="009B2E25" w:rsidP="009B2E25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Единый орган управления организациями, образующими инфраструктуру поддержки субъектов малого и среднего предпринимательства Чукотского автономного округа</w:t>
      </w:r>
      <w:r w:rsidR="000F73BC" w:rsidRPr="00DE6060">
        <w:rPr>
          <w:rFonts w:ascii="Times New Roman" w:eastAsia="Times New Roman" w:hAnsi="Times New Roman" w:cs="Times New Roman"/>
          <w:sz w:val="24"/>
          <w:szCs w:val="24"/>
        </w:rPr>
        <w:t xml:space="preserve"> – консультационная и методологическая поддержка организаций инфраструктуры поддержки предпринимательства на территории Чукотского АО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2E25" w:rsidRPr="00DE6060" w:rsidRDefault="009B2E25" w:rsidP="009B2E25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Региональная гарантийная организация</w:t>
      </w:r>
      <w:r w:rsidR="000F73BC" w:rsidRPr="00DE6060">
        <w:rPr>
          <w:rFonts w:ascii="Times New Roman" w:eastAsia="Times New Roman" w:hAnsi="Times New Roman" w:cs="Times New Roman"/>
          <w:sz w:val="24"/>
          <w:szCs w:val="24"/>
        </w:rPr>
        <w:t xml:space="preserve"> – выдача поручительств по кредитам бизнеса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2E25" w:rsidRPr="00DE6060" w:rsidRDefault="009B2E25" w:rsidP="009B2E25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Центр поддержки предпринимательства</w:t>
      </w:r>
      <w:r w:rsidR="000F73BC" w:rsidRPr="00DE606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D0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3BC" w:rsidRPr="00DE6060">
        <w:rPr>
          <w:rFonts w:ascii="Times New Roman" w:eastAsia="Times New Roman" w:hAnsi="Times New Roman" w:cs="Times New Roman"/>
          <w:sz w:val="24"/>
          <w:szCs w:val="24"/>
        </w:rPr>
        <w:t>консультирование, бизнес-планирование, содействие в популяризации продукции субъектов МСП, образовательная поддержка, обеспечение участия в межрегиональных и международных мероприятиях и т.д.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2E25" w:rsidRPr="00DE6060" w:rsidRDefault="009B2E25" w:rsidP="009B2E25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Специализированная организация по работе с инвесторами и привлечению инвестиций</w:t>
      </w:r>
      <w:r w:rsidR="000F73BC" w:rsidRPr="00DE6060">
        <w:rPr>
          <w:rFonts w:ascii="Times New Roman" w:eastAsia="Times New Roman" w:hAnsi="Times New Roman" w:cs="Times New Roman"/>
          <w:sz w:val="24"/>
          <w:szCs w:val="24"/>
        </w:rPr>
        <w:t xml:space="preserve"> – предоставление координации по существующим мерам поддержки в регионе инвесторов любого уровня (от крупнейшего до микро)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2E25" w:rsidRPr="00DE6060" w:rsidRDefault="009B2E25" w:rsidP="009B2E25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Промышленный парк «Анадырь» - оказание имущественной поддержки обеспечивает управляющая компания ООО «УК «Промышленный парк «</w:t>
      </w:r>
      <w:proofErr w:type="spellStart"/>
      <w:r w:rsidRPr="00DE6060">
        <w:rPr>
          <w:rFonts w:ascii="Times New Roman" w:eastAsia="Times New Roman" w:hAnsi="Times New Roman" w:cs="Times New Roman"/>
          <w:sz w:val="24"/>
          <w:szCs w:val="24"/>
        </w:rPr>
        <w:t>АрктикПромПарк</w:t>
      </w:r>
      <w:proofErr w:type="spellEnd"/>
      <w:r w:rsidRPr="00DE606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9B2E25" w:rsidRPr="00DE6060" w:rsidRDefault="009B2E25" w:rsidP="009B2E25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E6060">
        <w:rPr>
          <w:rFonts w:ascii="Times New Roman" w:eastAsia="Times New Roman" w:hAnsi="Times New Roman" w:cs="Times New Roman"/>
          <w:sz w:val="24"/>
          <w:szCs w:val="24"/>
        </w:rPr>
        <w:t>Микрофинансовая</w:t>
      </w:r>
      <w:proofErr w:type="spellEnd"/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– предоставление займов на льготных условиях осуществляется АНО «МКК Чукотки».</w:t>
      </w:r>
    </w:p>
    <w:p w:rsidR="009B2E25" w:rsidRPr="00DE6060" w:rsidRDefault="009B2E25" w:rsidP="009B2E25">
      <w:pPr>
        <w:pStyle w:val="a4"/>
        <w:spacing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Кроме того, в 2020 году Правительство Чукотского автономного округа запустило на площадке Центра «Мой бизнес» еще три дополнительных направления. Это Центр поддержки экспорта, Центр народно-художественных промыслов и Центр компетенций в сфере сельскохозяйственной кооперации и поддержки фермеров.</w:t>
      </w:r>
    </w:p>
    <w:p w:rsidR="006F520B" w:rsidRPr="00DE6060" w:rsidRDefault="006F520B" w:rsidP="006F520B">
      <w:pPr>
        <w:spacing w:line="2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1.5.3.1. Институты поддержки</w:t>
      </w:r>
      <w:r w:rsidR="00054D09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бизнеса в целом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4BAB" w:rsidRPr="00DE6060" w:rsidRDefault="00894BAB" w:rsidP="00894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1.5.3.1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 Создан актуализированный механизм г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инфраструктурной поддержки инвест</w:t>
      </w:r>
      <w:r w:rsidR="00CE1D70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на территории Дальнего Востока. Цель – финансирование инфраструктурных проектов на территории Дальневосточного федерального округа. </w:t>
      </w:r>
    </w:p>
    <w:p w:rsidR="00ED1506" w:rsidRPr="00DE6060" w:rsidRDefault="00ED1506" w:rsidP="00894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в период 2017-2019гг в своей деятельности регулярно осуществлял взаимодействие с институтами развития экономики, транслировал реализуемые ими актуальные меры поддержки субъектам предпринимательства, размещал ссылки на официальном сайте Фонда. В числе действующих институтов развития экономики Фонд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взаимодействовал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следующими:</w:t>
      </w:r>
    </w:p>
    <w:p w:rsidR="00894BAB" w:rsidRPr="00DE6060" w:rsidRDefault="00894BAB" w:rsidP="00894BAB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rFonts w:eastAsia="Times New Roman"/>
        </w:rPr>
      </w:pPr>
      <w:r w:rsidRPr="00DE6060">
        <w:rPr>
          <w:rFonts w:eastAsia="Times New Roman"/>
          <w:b/>
        </w:rPr>
        <w:t>АО «Фонд развития Дальнего востока и Байкальского региона»</w:t>
      </w:r>
      <w:r w:rsidR="00ED1506" w:rsidRPr="00DE6060">
        <w:rPr>
          <w:rFonts w:eastAsia="Times New Roman"/>
        </w:rPr>
        <w:t xml:space="preserve"> -</w:t>
      </w:r>
      <w:r w:rsidRPr="00DE6060">
        <w:rPr>
          <w:rFonts w:eastAsia="Times New Roman"/>
        </w:rPr>
        <w:t xml:space="preserve"> </w:t>
      </w:r>
      <w:r w:rsidR="00ED1506" w:rsidRPr="00DE6060">
        <w:rPr>
          <w:rFonts w:eastAsia="Times New Roman"/>
        </w:rPr>
        <w:t>е</w:t>
      </w:r>
      <w:r w:rsidRPr="00DE6060">
        <w:rPr>
          <w:rFonts w:eastAsia="Times New Roman"/>
        </w:rPr>
        <w:t>го основным продуктом является финансирование инвестиционных проектов под льготную ставку 5 (пять) процентов годовых на срок до 10 лет. Реализованный механизм позволит создать большое количество рабочих мест на Дальнем Востоке, увеличить валовый региональный продукт (ВРП) макрорегиона и обеспечить доходы государства, субъектов Российской Федерации и муниципальных образований за счет налоговых поступлений.</w:t>
      </w:r>
    </w:p>
    <w:p w:rsidR="00894BAB" w:rsidRPr="00DE6060" w:rsidRDefault="00894BAB" w:rsidP="00894B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АО «Агентство по развитию человеческого капитала». 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трудоустройство граждан на территории Дальнего Востока, привлечение</w:t>
      </w:r>
      <w:r w:rsidR="00F8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квалифицированного персонала,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заявкам инвесторов.  </w:t>
      </w:r>
      <w:r w:rsidR="00CE1D70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привле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кается персонал для предприятий-резидентов ТОР, СПВ, иных инвестиционных проектов. </w:t>
      </w:r>
    </w:p>
    <w:p w:rsidR="00894BAB" w:rsidRPr="00DE6060" w:rsidRDefault="00894BAB" w:rsidP="00894BAB">
      <w:pPr>
        <w:pStyle w:val="af0"/>
        <w:spacing w:before="0" w:beforeAutospacing="0" w:after="0" w:afterAutospacing="0"/>
        <w:ind w:firstLine="851"/>
        <w:jc w:val="both"/>
        <w:rPr>
          <w:rFonts w:eastAsia="Times New Roman"/>
        </w:rPr>
      </w:pPr>
      <w:r w:rsidRPr="00DE6060">
        <w:rPr>
          <w:rFonts w:eastAsia="Times New Roman"/>
          <w:b/>
          <w:bCs/>
        </w:rPr>
        <w:t>АО «</w:t>
      </w:r>
      <w:r w:rsidRPr="00DE6060">
        <w:rPr>
          <w:b/>
        </w:rPr>
        <w:t>Агентство Дальнего Востока по привлечению инвестиций и поддержке экспорта» (АПИ</w:t>
      </w:r>
      <w:r w:rsidRPr="00DE6060">
        <w:t>)</w:t>
      </w:r>
      <w:r w:rsidRPr="00DE6060">
        <w:rPr>
          <w:rFonts w:eastAsia="Times New Roman"/>
          <w:b/>
          <w:bCs/>
        </w:rPr>
        <w:t>.</w:t>
      </w:r>
      <w:r w:rsidRPr="00DE6060">
        <w:rPr>
          <w:rFonts w:eastAsia="Times New Roman"/>
        </w:rPr>
        <w:t xml:space="preserve"> Цель – привлечение существующих и создание новых </w:t>
      </w:r>
      <w:r w:rsidR="00193A9D" w:rsidRPr="00DE6060">
        <w:rPr>
          <w:rFonts w:eastAsia="Times New Roman"/>
        </w:rPr>
        <w:t>предприятий в</w:t>
      </w:r>
      <w:r w:rsidRPr="00DE6060">
        <w:rPr>
          <w:rFonts w:eastAsia="Times New Roman"/>
        </w:rPr>
        <w:t xml:space="preserve"> ТОР и в СПВ.</w:t>
      </w:r>
    </w:p>
    <w:p w:rsidR="00894BAB" w:rsidRPr="00DE6060" w:rsidRDefault="00965344" w:rsidP="00894BAB">
      <w:pPr>
        <w:spacing w:line="23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За период с 2016 по 2019г Фондом обеспечен прирост обращений на 3363%, в т.ч.: в 2016 году за услугами Фонда обращалось 33 клиента, в 2017 году количество обратившихся выросло до 138, в 2018 году – 898 и в 2019 – 1 110 клиентов. Количество написанных бизнес-планов и ТЭО выросло с 12 в 2016 году до 280 нарастающим итогом на 01.01.2020г, в т.ч. 254 проекта получили поддержку по месту соискания и приступили к реализации (или 90,7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%).</w:t>
      </w:r>
      <w:r w:rsidR="00894BAB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4BAB" w:rsidRPr="00DE6060" w:rsidRDefault="00894BAB" w:rsidP="00894BAB">
      <w:pPr>
        <w:spacing w:line="23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Приоритетом для Фонда в рамках Чукотского АО являются проекты в таких отраслях как горнодобывающая промышленность, сельское хозяйство, лесная и рыбная промышленность, нефтегазохимия, утилизация ТБО, машиностроение, транспорт, бытовые услуги, проекты в области СМИ, </w:t>
      </w:r>
      <w:r w:rsidRPr="00DE60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-технологии, организация пунктов хранения, здравоохранение, туризм и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D09" w:rsidRPr="00DE6060" w:rsidRDefault="00054D09" w:rsidP="006F520B">
      <w:pPr>
        <w:spacing w:line="23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1.5.3.2. Институты поддержки среднего и малого бизнеса </w:t>
      </w:r>
    </w:p>
    <w:p w:rsidR="006D3CC5" w:rsidRPr="00DE6060" w:rsidRDefault="006D3CC5" w:rsidP="00AD21DF">
      <w:pPr>
        <w:spacing w:line="23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Во исполнение Указа Президента Российской Федерации от 05.06.2015</w:t>
      </w:r>
      <w:r w:rsidR="000604E1" w:rsidRPr="00DE606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287 «О мерах по дальнейшему развитию малого и среднего предпринимательства» (далее – Указ № 287) на базе АО «НДКО «АКГ» создано акционерное общество «Федеральная корпорация по развитию малого и среднего предпринимательства».</w:t>
      </w:r>
      <w:r w:rsidR="00DE3A0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550" w:rsidRPr="00DE6060" w:rsidRDefault="00B06550" w:rsidP="00091788">
      <w:pPr>
        <w:spacing w:line="23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в 2017 году получи</w:t>
      </w:r>
      <w:r w:rsidR="0060462D" w:rsidRPr="00DE6060">
        <w:rPr>
          <w:rFonts w:ascii="Times New Roman" w:eastAsia="Times New Roman" w:hAnsi="Times New Roman" w:cs="Times New Roman"/>
          <w:sz w:val="24"/>
          <w:szCs w:val="24"/>
        </w:rPr>
        <w:t>л, в соответствии с Программой,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статус официального партнёра АО «Федеральная корпорация развития МСП»</w:t>
      </w:r>
      <w:r w:rsidR="002D7DD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мультипликативного увеличения эффекта от результатов деятельности </w:t>
      </w:r>
      <w:r w:rsidR="00DE3A0D" w:rsidRPr="00DE6060">
        <w:rPr>
          <w:rFonts w:ascii="Times New Roman" w:eastAsia="Times New Roman" w:hAnsi="Times New Roman" w:cs="Times New Roman"/>
          <w:sz w:val="24"/>
          <w:szCs w:val="24"/>
        </w:rPr>
        <w:t>в качестве региональной гарантийной организации</w:t>
      </w:r>
      <w:r w:rsidR="002D7DD7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462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последующие годы Фонд успешно прошел подтверждение статуса участника единой гарантийной системы РФ и партнёра АО Корпорация МСП.</w:t>
      </w:r>
    </w:p>
    <w:p w:rsidR="006D3CC5" w:rsidRPr="00DE6060" w:rsidRDefault="006D3CC5" w:rsidP="00AD591A">
      <w:pPr>
        <w:spacing w:line="234" w:lineRule="auto"/>
        <w:ind w:firstLine="82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Выполнение поставленных перед </w:t>
      </w:r>
      <w:r w:rsidR="00B06550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2D7DD7" w:rsidRPr="00DE60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3615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задач, как реги</w:t>
      </w:r>
      <w:r w:rsidR="00605CD0" w:rsidRPr="00DE60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6156" w:rsidRPr="00DE6060">
        <w:rPr>
          <w:rFonts w:ascii="Times New Roman" w:eastAsia="Times New Roman" w:hAnsi="Times New Roman" w:cs="Times New Roman"/>
          <w:sz w:val="24"/>
          <w:szCs w:val="24"/>
        </w:rPr>
        <w:t xml:space="preserve">нальной гарантийной организации </w:t>
      </w:r>
      <w:r w:rsidR="0060462D" w:rsidRPr="00DE6060">
        <w:rPr>
          <w:rFonts w:ascii="Times New Roman" w:eastAsia="Times New Roman" w:hAnsi="Times New Roman" w:cs="Times New Roman"/>
          <w:sz w:val="24"/>
          <w:szCs w:val="24"/>
        </w:rPr>
        <w:t>обеспечено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 w:rsidR="00124BA1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5C4" w:rsidRPr="00DE6060">
        <w:rPr>
          <w:rFonts w:ascii="Times New Roman" w:eastAsia="Times New Roman" w:hAnsi="Times New Roman" w:cs="Times New Roman"/>
          <w:sz w:val="24"/>
          <w:szCs w:val="24"/>
        </w:rPr>
        <w:t>упрощения доступности кредитных ресурсов, посредством выдаваемых поручительств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ориентации основных мер и мероприятий на поддержку таких предприятий</w:t>
      </w:r>
      <w:r w:rsidR="0073615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3CEA" w:rsidRPr="00DE6060" w:rsidRDefault="006D3CC5" w:rsidP="00AD591A">
      <w:pPr>
        <w:spacing w:line="235" w:lineRule="auto"/>
        <w:ind w:firstLine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«массовый» сектор МСП – предприятия, которые, как правило, специализируются на осуществлении торговых операций, предоставлении услуг, производстве и реализации сельскохозяйственной продукции и, таким образом, играют ключевую роль в обеспечении занятости, повышении качества и уровня комфорта среды для проживания (рестораны, кафе, автомастерские, службы быта, фитнес-клубы, оздоровительные центры, детские сады, образовательные учреждения и т. д.).</w:t>
      </w:r>
    </w:p>
    <w:p w:rsidR="00A70B2F" w:rsidRPr="00DE6060" w:rsidRDefault="00A70B2F" w:rsidP="00A70B2F">
      <w:pPr>
        <w:spacing w:line="23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На 31 декабря 2019 года, в рамках реализации Правительством Чукотского АО стратегии региона по развитию предпринимательства на базе Фонда создано за период 2017-2019гг и объединено </w:t>
      </w:r>
      <w:r w:rsidR="00FD0A5F" w:rsidRPr="00DE6060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поддержки. Кроме того</w:t>
      </w:r>
      <w:r w:rsidR="00037048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создано две организации инфраструктуры поддержки предпринимательства по направлениям микрокредитования и имущественной поддержки (как указано в п. 1.5.3. настоящего Отчета).</w:t>
      </w:r>
    </w:p>
    <w:p w:rsidR="006D3CC5" w:rsidRPr="00DE6060" w:rsidRDefault="006D3CC5" w:rsidP="00BA762B">
      <w:pPr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6F5B16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04DCE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Действующие механизмы поддержки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предпосылки </w:t>
      </w:r>
      <w:r w:rsidR="00CF65DF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их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развития </w:t>
      </w:r>
      <w:r w:rsidR="00CF65DF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субъектов </w:t>
      </w:r>
      <w:r w:rsidR="008040EC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A12291" w:rsidRPr="00DE6060" w:rsidRDefault="00A12291" w:rsidP="00A12291">
      <w:pPr>
        <w:spacing w:line="234" w:lineRule="auto"/>
        <w:ind w:firstLine="968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Ключев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задач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Фонда 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реализована. Осуществлен ряд мероприятий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для развития экономики Чукотского АО и инвестиционной среды региона</w:t>
      </w:r>
      <w:r w:rsidR="003D6B0C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B0C" w:rsidRPr="00DE6060">
        <w:rPr>
          <w:rFonts w:ascii="Times New Roman" w:eastAsia="Times New Roman" w:hAnsi="Times New Roman" w:cs="Times New Roman"/>
          <w:sz w:val="24"/>
          <w:szCs w:val="24"/>
        </w:rPr>
        <w:t>Повышение доступности субъектам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 к открытому информационному пространству в области финансовых механизмов и возможностей особых экономических зон</w:t>
      </w:r>
      <w:r w:rsidR="003D6B0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один из приоритетов работы 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2762" w:rsidRPr="00DE6060" w:rsidRDefault="00FC623D" w:rsidP="00DD577D">
      <w:pPr>
        <w:spacing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1.6.1.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Реализованы запланированные м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еханизмы поддержки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14A" w:rsidRPr="00DE6060">
        <w:rPr>
          <w:rFonts w:ascii="Times New Roman" w:eastAsia="Times New Roman" w:hAnsi="Times New Roman" w:cs="Times New Roman"/>
          <w:sz w:val="24"/>
          <w:szCs w:val="24"/>
        </w:rPr>
        <w:t>для целей получения инвесторами оптимального финансового результата</w:t>
      </w:r>
      <w:r w:rsidR="00A12291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691" w:rsidRPr="00DE60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12291" w:rsidRPr="00DE6060">
        <w:rPr>
          <w:rFonts w:ascii="Times New Roman" w:eastAsia="Times New Roman" w:hAnsi="Times New Roman" w:cs="Times New Roman"/>
          <w:sz w:val="24"/>
          <w:szCs w:val="24"/>
        </w:rPr>
        <w:t>представлены следующим перечнем</w:t>
      </w:r>
      <w:r w:rsidR="00AB2762"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2762" w:rsidRPr="00DE6060" w:rsidRDefault="00AB2762" w:rsidP="00CD4CE9">
      <w:pPr>
        <w:pStyle w:val="a4"/>
        <w:numPr>
          <w:ilvl w:val="0"/>
          <w:numId w:val="60"/>
        </w:num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реализация услуг </w:t>
      </w:r>
      <w:r w:rsidR="00F331F2" w:rsidRPr="00DE6060">
        <w:rPr>
          <w:rFonts w:ascii="Times New Roman" w:eastAsia="Times New Roman" w:hAnsi="Times New Roman" w:cs="Times New Roman"/>
          <w:sz w:val="24"/>
          <w:szCs w:val="24"/>
        </w:rPr>
        <w:t>по структурированию инвест</w:t>
      </w:r>
      <w:r w:rsidR="00303873" w:rsidRPr="00DE60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331F2" w:rsidRPr="00DE6060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="00A12291" w:rsidRPr="00DE6060">
        <w:rPr>
          <w:rFonts w:ascii="Times New Roman" w:eastAsia="Times New Roman" w:hAnsi="Times New Roman" w:cs="Times New Roman"/>
          <w:sz w:val="24"/>
          <w:szCs w:val="24"/>
        </w:rPr>
        <w:t xml:space="preserve"> (для всех сегментов бизнеса)</w:t>
      </w:r>
      <w:r w:rsidR="00F331F2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31F2" w:rsidRPr="00DE6060" w:rsidRDefault="00F331F2" w:rsidP="00CD4CE9">
      <w:pPr>
        <w:pStyle w:val="a4"/>
        <w:numPr>
          <w:ilvl w:val="0"/>
          <w:numId w:val="60"/>
        </w:num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консультационные услуги на стадии запуска и в течение жизни проекта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291" w:rsidRPr="00DE6060">
        <w:rPr>
          <w:rFonts w:ascii="Times New Roman" w:eastAsia="Times New Roman" w:hAnsi="Times New Roman" w:cs="Times New Roman"/>
          <w:sz w:val="24"/>
          <w:szCs w:val="24"/>
        </w:rPr>
        <w:t>(для всех сегментов бизнеса);</w:t>
      </w:r>
    </w:p>
    <w:p w:rsidR="00F331F2" w:rsidRPr="00DE6060" w:rsidRDefault="00F331F2" w:rsidP="00CD4CE9">
      <w:pPr>
        <w:pStyle w:val="a4"/>
        <w:numPr>
          <w:ilvl w:val="0"/>
          <w:numId w:val="60"/>
        </w:num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подбор оптимальной схемы финансирования инвест</w:t>
      </w:r>
      <w:r w:rsidR="00CE1D70" w:rsidRPr="00DE606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="00A12291" w:rsidRPr="00DE6060">
        <w:rPr>
          <w:rFonts w:ascii="Times New Roman" w:eastAsia="Times New Roman" w:hAnsi="Times New Roman" w:cs="Times New Roman"/>
          <w:sz w:val="24"/>
          <w:szCs w:val="24"/>
        </w:rPr>
        <w:t xml:space="preserve"> (для всех сегментов бизнеса);</w:t>
      </w:r>
    </w:p>
    <w:p w:rsidR="00F331F2" w:rsidRPr="00DE6060" w:rsidRDefault="00F331F2" w:rsidP="00CD4CE9">
      <w:pPr>
        <w:pStyle w:val="a4"/>
        <w:numPr>
          <w:ilvl w:val="0"/>
          <w:numId w:val="60"/>
        </w:num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в определении и </w:t>
      </w:r>
      <w:r w:rsidR="00250ABB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построении плана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реализации способов использования объектов инвестирования для целей обеспечения надёжности проекта и </w:t>
      </w:r>
      <w:r w:rsidR="00250ABB" w:rsidRPr="00DE606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инвестором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стабильного потока прибыли</w:t>
      </w:r>
      <w:r w:rsidR="00250ABB"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запускаемого проекта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(в т.ч. определение оптимальных параметров с учетом возможностей механизмов предусмотренных 44-ФЗ</w:t>
      </w:r>
      <w:r w:rsidR="008779FA" w:rsidRPr="00DE6060">
        <w:rPr>
          <w:rFonts w:ascii="Times New Roman" w:eastAsia="Times New Roman" w:hAnsi="Times New Roman" w:cs="Times New Roman"/>
          <w:sz w:val="24"/>
          <w:szCs w:val="24"/>
        </w:rPr>
        <w:t xml:space="preserve"> «О контрольной системе в сфере закупок товаров, работ, услуг для обеспечения государственных и муниципальных нужд»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223-ФЗ</w:t>
      </w:r>
      <w:r w:rsidR="008A5DE2" w:rsidRPr="00DE6060">
        <w:rPr>
          <w:rFonts w:ascii="Times New Roman" w:eastAsia="Times New Roman" w:hAnsi="Times New Roman" w:cs="Times New Roman"/>
          <w:sz w:val="24"/>
          <w:szCs w:val="24"/>
        </w:rPr>
        <w:t xml:space="preserve"> «О закупках товаров, работ, услуг отдельными видами юридических лиц»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115-ФЗ </w:t>
      </w:r>
      <w:r w:rsidR="00BA76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B165F" w:rsidRPr="00DE6060">
        <w:rPr>
          <w:rFonts w:ascii="Times New Roman" w:eastAsia="Times New Roman" w:hAnsi="Times New Roman" w:cs="Times New Roman"/>
          <w:sz w:val="24"/>
          <w:szCs w:val="24"/>
        </w:rPr>
        <w:t xml:space="preserve">О концессионных соглашениях»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 т.п.)</w:t>
      </w:r>
      <w:r w:rsidR="00A12291" w:rsidRPr="00DE6060">
        <w:rPr>
          <w:rFonts w:ascii="Times New Roman" w:eastAsia="Times New Roman" w:hAnsi="Times New Roman" w:cs="Times New Roman"/>
          <w:sz w:val="24"/>
          <w:szCs w:val="24"/>
        </w:rPr>
        <w:t xml:space="preserve"> (для всех сегментов бизнеса);</w:t>
      </w:r>
    </w:p>
    <w:p w:rsidR="006D3CC5" w:rsidRPr="00DE6060" w:rsidRDefault="008779FA" w:rsidP="00CD4CE9">
      <w:pPr>
        <w:pStyle w:val="a4"/>
        <w:numPr>
          <w:ilvl w:val="0"/>
          <w:numId w:val="60"/>
        </w:numPr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предоставление доступной формы обеспечения по кредитам в коммерческих банках субъектам МСП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как региональной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гарантийной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организации. Данные механизмы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играют важную роль в развитии МСП. В частности, анализ международного</w:t>
      </w:r>
      <w:r w:rsidR="00074B7E" w:rsidRPr="00DE6060">
        <w:rPr>
          <w:rFonts w:ascii="Times New Roman" w:eastAsia="Times New Roman" w:hAnsi="Times New Roman" w:cs="Times New Roman"/>
          <w:sz w:val="24"/>
          <w:szCs w:val="24"/>
        </w:rPr>
        <w:t xml:space="preserve">, российского 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опыта </w:t>
      </w:r>
      <w:r w:rsidR="00074B7E" w:rsidRPr="00DE6060">
        <w:rPr>
          <w:rFonts w:ascii="Times New Roman" w:eastAsia="Times New Roman" w:hAnsi="Times New Roman" w:cs="Times New Roman"/>
          <w:sz w:val="24"/>
          <w:szCs w:val="24"/>
        </w:rPr>
        <w:t xml:space="preserve">Чукотского автономного округа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показывает положительную взаимосвязь уровня развития МСП и таких факторов, как:</w:t>
      </w:r>
    </w:p>
    <w:p w:rsidR="006D3CC5" w:rsidRPr="00DE6060" w:rsidRDefault="006D3CC5" w:rsidP="00CD4CE9">
      <w:pPr>
        <w:numPr>
          <w:ilvl w:val="0"/>
          <w:numId w:val="59"/>
        </w:numPr>
        <w:spacing w:after="0" w:line="227" w:lineRule="auto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доступ МСП к долгосрочным финансовым ресурсам на обновление основных фондов;</w:t>
      </w:r>
    </w:p>
    <w:p w:rsidR="006D3CC5" w:rsidRPr="00DE6060" w:rsidRDefault="006D3CC5" w:rsidP="00A8558A">
      <w:pPr>
        <w:spacing w:line="33" w:lineRule="exact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0"/>
          <w:numId w:val="59"/>
        </w:numPr>
        <w:spacing w:after="0" w:line="228" w:lineRule="auto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развитие рынка финансирования МСП банковским сектором и иными финансовыми организациями;</w:t>
      </w:r>
    </w:p>
    <w:p w:rsidR="006D3CC5" w:rsidRPr="00DE6060" w:rsidRDefault="006D3CC5" w:rsidP="00CD4CE9">
      <w:pPr>
        <w:numPr>
          <w:ilvl w:val="0"/>
          <w:numId w:val="59"/>
        </w:numPr>
        <w:spacing w:after="0" w:line="238" w:lineRule="auto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доступн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>ая стоимость финансирования МСП;</w:t>
      </w:r>
    </w:p>
    <w:p w:rsidR="00074B7E" w:rsidRPr="00DE6060" w:rsidRDefault="00074B7E" w:rsidP="00CD4CE9">
      <w:pPr>
        <w:numPr>
          <w:ilvl w:val="0"/>
          <w:numId w:val="59"/>
        </w:numPr>
        <w:spacing w:after="0" w:line="238" w:lineRule="auto"/>
        <w:ind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доступность услуг по 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 xml:space="preserve">квалифицированному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оформлению бизнес-планов</w:t>
      </w:r>
      <w:r w:rsidR="00316CA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актуальными и общепринятыми требованиями инвесторов международного уровня, структурированию проектов в условиях передовых технологий и мировых практик.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CC5" w:rsidRPr="00DE6060" w:rsidRDefault="006D3CC5" w:rsidP="00B00988">
      <w:pPr>
        <w:spacing w:line="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5D2C73">
      <w:pPr>
        <w:spacing w:line="2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FC623D" w:rsidP="005D2C73">
      <w:pPr>
        <w:spacing w:line="235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1.6.2. </w:t>
      </w:r>
      <w:r w:rsidR="001C5668" w:rsidRPr="00DE6060">
        <w:rPr>
          <w:rFonts w:ascii="Times New Roman" w:eastAsia="Times New Roman" w:hAnsi="Times New Roman" w:cs="Times New Roman"/>
          <w:b/>
          <w:sz w:val="24"/>
          <w:szCs w:val="24"/>
        </w:rPr>
        <w:t>Фонд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CEA" w:rsidRPr="00DE6060">
        <w:rPr>
          <w:rFonts w:ascii="Times New Roman" w:eastAsia="Times New Roman" w:hAnsi="Times New Roman" w:cs="Times New Roman"/>
          <w:b/>
          <w:sz w:val="24"/>
          <w:szCs w:val="24"/>
        </w:rPr>
        <w:t>осуществил совместную работу за отчетный период, направленную</w:t>
      </w:r>
      <w:r w:rsidR="001C5668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реализацию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механизмов поддержки предпринимательства </w:t>
      </w:r>
      <w:r w:rsidR="00FA2F54" w:rsidRPr="00DE60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учетом выработанных на федеральном уровне в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2014-201</w:t>
      </w:r>
      <w:r w:rsidR="00432498" w:rsidRPr="00DE60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годах в рамках деятельности </w:t>
      </w:r>
      <w:r w:rsidR="005245F8" w:rsidRPr="00DE6060">
        <w:rPr>
          <w:rFonts w:ascii="Times New Roman" w:eastAsia="Times New Roman" w:hAnsi="Times New Roman" w:cs="Times New Roman"/>
          <w:sz w:val="24"/>
          <w:szCs w:val="24"/>
        </w:rPr>
        <w:t>АО «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Корпораци</w:t>
      </w:r>
      <w:r w:rsidR="005245F8" w:rsidRPr="00DE6060">
        <w:rPr>
          <w:rFonts w:ascii="Times New Roman" w:eastAsia="Times New Roman" w:hAnsi="Times New Roman" w:cs="Times New Roman"/>
          <w:sz w:val="24"/>
          <w:szCs w:val="24"/>
        </w:rPr>
        <w:t>я развития МСП»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созданию </w:t>
      </w:r>
      <w:r w:rsidR="006D3CC5" w:rsidRPr="00DE6060">
        <w:rPr>
          <w:rFonts w:ascii="Times New Roman" w:eastAsia="Times New Roman" w:hAnsi="Times New Roman" w:cs="Times New Roman"/>
          <w:b/>
          <w:sz w:val="24"/>
          <w:szCs w:val="24"/>
        </w:rPr>
        <w:t>Национальной гарантийной системы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(далее – НГС)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в т.ч.:</w:t>
      </w:r>
    </w:p>
    <w:p w:rsidR="006D3CC5" w:rsidRPr="00DE6060" w:rsidRDefault="00DD577D" w:rsidP="00CD4CE9">
      <w:pPr>
        <w:numPr>
          <w:ilvl w:val="1"/>
          <w:numId w:val="2"/>
        </w:numPr>
        <w:tabs>
          <w:tab w:val="left" w:pos="1254"/>
        </w:tabs>
        <w:spacing w:after="0" w:line="235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совместимые механизмы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Национальной гарантийной системы поддержки субъектов МСП на период до 2020 года (далее – Стратегия НГС). Основные положения Стратегии НГС утверждены приказом Минэкономразвития России от 19.02.2015 № 74;</w:t>
      </w:r>
    </w:p>
    <w:p w:rsidR="006D3CC5" w:rsidRPr="00DE6060" w:rsidRDefault="006D3CC5" w:rsidP="005D2C73">
      <w:pPr>
        <w:spacing w:line="35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DD577D" w:rsidP="00CD4CE9">
      <w:pPr>
        <w:numPr>
          <w:ilvl w:val="1"/>
          <w:numId w:val="2"/>
        </w:numPr>
        <w:tabs>
          <w:tab w:val="left" w:pos="1254"/>
        </w:tabs>
        <w:spacing w:after="0" w:line="233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 структурировании инвестиционных проектов региона и консультативной поддержке субъектов предпринимательства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внедрен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ную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линейк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гарантийных продуктов 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>АО «Федеральная к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орпораци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>я развития МСП»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субъектов МСП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C03" w:rsidRPr="00DE6060" w:rsidRDefault="001B24BB" w:rsidP="00CD4CE9">
      <w:pPr>
        <w:numPr>
          <w:ilvl w:val="0"/>
          <w:numId w:val="53"/>
        </w:numPr>
        <w:tabs>
          <w:tab w:val="left" w:pos="1254"/>
        </w:tabs>
        <w:spacing w:after="0" w:line="236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режиме совместимости </w:t>
      </w:r>
      <w:r w:rsidR="00DD577D" w:rsidRPr="00DE6060">
        <w:rPr>
          <w:rFonts w:ascii="Times New Roman" w:eastAsia="Times New Roman" w:hAnsi="Times New Roman" w:cs="Times New Roman"/>
          <w:sz w:val="24"/>
          <w:szCs w:val="24"/>
        </w:rPr>
        <w:t>организованную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одноканальн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продвижения гарантийных продуктов 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>АО «Федеральная корпорация развития МСП»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через банки-партнеры, в том числе 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>внедрен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адаптации гарантийных продуктов к требованиям внутре</w:t>
      </w:r>
      <w:r w:rsidR="00BA762B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>их процес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сов и процедур банков-партнеров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C03" w:rsidRPr="00DE6060" w:rsidRDefault="00343C03" w:rsidP="00CD4CE9">
      <w:pPr>
        <w:pStyle w:val="a4"/>
        <w:numPr>
          <w:ilvl w:val="0"/>
          <w:numId w:val="53"/>
        </w:numPr>
        <w:spacing w:line="3" w:lineRule="exact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343C03" w:rsidRPr="00DE6060" w:rsidRDefault="00193A9D" w:rsidP="00CD4CE9">
      <w:pPr>
        <w:pStyle w:val="a4"/>
        <w:numPr>
          <w:ilvl w:val="0"/>
          <w:numId w:val="53"/>
        </w:numPr>
        <w:tabs>
          <w:tab w:val="left" w:pos="1276"/>
          <w:tab w:val="left" w:pos="3140"/>
          <w:tab w:val="left" w:pos="4780"/>
          <w:tab w:val="left" w:pos="5740"/>
          <w:tab w:val="left" w:pos="6220"/>
          <w:tab w:val="left" w:pos="7520"/>
          <w:tab w:val="left" w:pos="89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проработаны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совместно</w:t>
      </w:r>
      <w:r w:rsidR="00F84B1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с банками-партнерами механизмы 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>снижения процентных ставок по кредитам субъект</w:t>
      </w:r>
      <w:r w:rsidR="00BA762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>МСП</w:t>
      </w:r>
      <w:r w:rsidR="00F27AA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B1D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предоставления Фондом поручительств,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="00F84B1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гарантий</w:t>
      </w:r>
      <w:r w:rsidR="001C5668" w:rsidRPr="00DE6060">
        <w:rPr>
          <w:rFonts w:ascii="Times New Roman" w:eastAsia="Times New Roman" w:hAnsi="Times New Roman" w:cs="Times New Roman"/>
          <w:sz w:val="24"/>
          <w:szCs w:val="24"/>
        </w:rPr>
        <w:t>/согарантий АО «Федеральная корпорация развития МСП»</w:t>
      </w:r>
      <w:r w:rsidR="00343C03" w:rsidRPr="00DE60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E1483" w:rsidRPr="00DE6060" w:rsidRDefault="007A38D1" w:rsidP="00CD4CE9">
      <w:pPr>
        <w:pStyle w:val="a4"/>
        <w:numPr>
          <w:ilvl w:val="0"/>
          <w:numId w:val="49"/>
        </w:numPr>
        <w:spacing w:line="235" w:lineRule="auto"/>
        <w:ind w:left="0"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прочие механизмы по мере их создания и признания эффективными</w:t>
      </w:r>
      <w:r w:rsidR="002E1483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483" w:rsidRPr="00DE6060" w:rsidRDefault="002E1483" w:rsidP="005D2C73">
      <w:pPr>
        <w:spacing w:line="8" w:lineRule="exact"/>
        <w:ind w:firstLine="709"/>
        <w:rPr>
          <w:rFonts w:ascii="Times New Roman" w:eastAsia="Symbol" w:hAnsi="Times New Roman" w:cs="Times New Roman"/>
          <w:sz w:val="24"/>
          <w:szCs w:val="24"/>
        </w:rPr>
      </w:pPr>
    </w:p>
    <w:p w:rsidR="002E1483" w:rsidRPr="00DE6060" w:rsidRDefault="00FC623D" w:rsidP="005D2C73">
      <w:pPr>
        <w:spacing w:line="234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1.6.3.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483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рамках данной работы </w:t>
      </w:r>
      <w:r w:rsidR="002E1483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Фонд </w:t>
      </w:r>
      <w:r w:rsidR="002E1483" w:rsidRPr="00DE6060">
        <w:rPr>
          <w:rFonts w:ascii="Times New Roman" w:eastAsia="Times New Roman" w:hAnsi="Times New Roman" w:cs="Times New Roman"/>
          <w:sz w:val="24"/>
          <w:szCs w:val="24"/>
        </w:rPr>
        <w:t>ориентир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овался</w:t>
      </w:r>
      <w:r w:rsidR="001B24BB" w:rsidRPr="00DE6060">
        <w:rPr>
          <w:rFonts w:ascii="Times New Roman" w:eastAsia="Times New Roman" w:hAnsi="Times New Roman" w:cs="Times New Roman"/>
          <w:sz w:val="24"/>
          <w:szCs w:val="24"/>
        </w:rPr>
        <w:t>, наряду с прочими нормативными актами</w:t>
      </w:r>
      <w:r w:rsidR="002E148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приоритетные направления, установленные Указом Президента Российской Федерации от 07.07.2011 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w:t>
      </w:r>
    </w:p>
    <w:p w:rsidR="002E1483" w:rsidRPr="00DE6060" w:rsidRDefault="00FC623D" w:rsidP="005D2C73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1.6.4.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483" w:rsidRPr="00DE6060">
        <w:rPr>
          <w:rFonts w:ascii="Times New Roman" w:eastAsia="Times New Roman" w:hAnsi="Times New Roman" w:cs="Times New Roman"/>
          <w:sz w:val="24"/>
          <w:szCs w:val="24"/>
        </w:rPr>
        <w:t>Одним из ключевых блоков оказания поддержки субъектам МСП яв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илось</w:t>
      </w:r>
      <w:r w:rsidR="002E148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расширение доступа к закупкам отдельных заказчиков, осуществляющих закупочную деятельность в соответствии с Федеральным законом от 18.07.2011</w:t>
      </w:r>
      <w:r w:rsidR="00D3282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E1483" w:rsidRPr="00DE6060">
        <w:rPr>
          <w:rFonts w:ascii="Times New Roman" w:eastAsia="Times New Roman" w:hAnsi="Times New Roman" w:cs="Times New Roman"/>
          <w:sz w:val="24"/>
          <w:szCs w:val="24"/>
        </w:rPr>
        <w:t xml:space="preserve"> № 223-ФЗ «О закупках товаров, работ, услуг отдельными видами юридических лиц» (далее – Закон № 223-ФЗ).</w:t>
      </w:r>
    </w:p>
    <w:p w:rsidR="002E1483" w:rsidRPr="00DE6060" w:rsidRDefault="002E1483" w:rsidP="005D2C73">
      <w:pPr>
        <w:spacing w:line="8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E1483" w:rsidRPr="00DE6060" w:rsidRDefault="002E1483" w:rsidP="00CD4CE9">
      <w:pPr>
        <w:numPr>
          <w:ilvl w:val="1"/>
          <w:numId w:val="3"/>
        </w:numPr>
        <w:tabs>
          <w:tab w:val="left" w:pos="1133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условиях сжатых объемов поддержки за счет бюджетных средств расширение доступа субъектов МСП к закупкам является основным стимулом для их развития.</w:t>
      </w:r>
    </w:p>
    <w:p w:rsidR="002E1483" w:rsidRPr="00DE6060" w:rsidRDefault="002E1483" w:rsidP="005D2C73">
      <w:pPr>
        <w:spacing w:line="11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E1483" w:rsidRPr="00DE6060" w:rsidRDefault="002E1483" w:rsidP="001B0D76">
      <w:pPr>
        <w:spacing w:after="0" w:line="11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E1483" w:rsidRPr="00DE6060" w:rsidRDefault="002E1483" w:rsidP="001B0D76">
      <w:pPr>
        <w:spacing w:after="0"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Крупнейшие заказчики в целом выражают готовность обеспечить участие субъектов МСП в закупках</w:t>
      </w:r>
      <w:r w:rsidR="00710243" w:rsidRPr="00DE60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0800" w:rsidP="005D2C73">
      <w:pPr>
        <w:spacing w:line="21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в своей деятельности прин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ял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себя функцию координатора субъектов МСП по оптимальным наборам механизмов поддержки предпринимательства и примет меры по компенсации недостаточной информационной поддержке процесса в пределах региона. 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Кроме того, с реализацией функции Центра поддержки предпринимательства реализована мера поддержки в виде содействия обеспечения участия субъектов МСП в торгах.</w:t>
      </w:r>
    </w:p>
    <w:p w:rsidR="006D3CC5" w:rsidRPr="00DE6060" w:rsidRDefault="004100F3" w:rsidP="005D2C73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1.6.5.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 xml:space="preserve">Внедрены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лучши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практик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крупнейших заказчиков</w:t>
      </w:r>
      <w:r w:rsidR="00F3245C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="00F3245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включения в перечень услуг Фонда координаци</w:t>
      </w:r>
      <w:r w:rsidR="00F06691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3245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ряд</w:t>
      </w:r>
      <w:r w:rsidR="00F3245C" w:rsidRPr="00DE60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участия субъектов МСП в закупках, в том числе путем:</w:t>
      </w:r>
    </w:p>
    <w:p w:rsidR="003F1D6F" w:rsidRPr="00DE6060" w:rsidRDefault="006D3CC5" w:rsidP="007C1754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F3245C" w:rsidRPr="00DE6060">
        <w:rPr>
          <w:rFonts w:ascii="Times New Roman" w:eastAsia="Times New Roman" w:hAnsi="Times New Roman" w:cs="Times New Roman"/>
          <w:sz w:val="24"/>
          <w:szCs w:val="24"/>
        </w:rPr>
        <w:t xml:space="preserve">координации участия клиентов Фонда 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разработ</w:t>
      </w:r>
      <w:r w:rsidR="00F3245C" w:rsidRPr="00DE6060">
        <w:rPr>
          <w:rFonts w:ascii="Times New Roman" w:eastAsia="Times New Roman" w:hAnsi="Times New Roman" w:cs="Times New Roman"/>
          <w:sz w:val="24"/>
          <w:szCs w:val="24"/>
        </w:rPr>
        <w:t>анных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F3245C" w:rsidRPr="00DE6060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партнерства, </w:t>
      </w:r>
    </w:p>
    <w:p w:rsidR="007C1754" w:rsidRPr="00DE6060" w:rsidRDefault="003F1D6F" w:rsidP="007C1754">
      <w:pPr>
        <w:pStyle w:val="a4"/>
        <w:spacing w:after="0" w:line="219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2) включения в информационные сообщения Фонда о работе созданных промышленной палаты Российской Федерации, Общероссийской общественной организации малого и среднего пред</w:t>
      </w:r>
      <w:r w:rsidR="00F06691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принимательства «Опора России»,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 участием представителей общественных организаций субъектов МСП (Общероссийской общественной организации «Деловая Россия», Торгово-некоммерческой организации «Агентство стратегических инициатив по продвижению новых проектов»)</w:t>
      </w:r>
      <w:r w:rsidR="006223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  <w:r w:rsidR="007C1754" w:rsidRPr="00DE6060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</w:p>
    <w:p w:rsidR="007B7ECF" w:rsidRPr="00DE6060" w:rsidRDefault="007B7ECF" w:rsidP="00CD4CE9">
      <w:pPr>
        <w:pStyle w:val="a4"/>
        <w:numPr>
          <w:ilvl w:val="1"/>
          <w:numId w:val="4"/>
        </w:numPr>
        <w:tabs>
          <w:tab w:val="left" w:pos="462"/>
        </w:tabs>
        <w:spacing w:after="0" w:line="23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включения в информационные сообщения Фонда о возможностях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определения особенностей участия субъектов МСП в закупках</w:t>
      </w:r>
      <w:r w:rsidR="00124D35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положениях о закупках отдельных заказчиков (включая сниженный размер обеспечения заявки и исполнения договора (2% и 5% соответственно)</w:t>
      </w:r>
      <w:r w:rsidR="00124D35" w:rsidRPr="00DE6060">
        <w:rPr>
          <w:rFonts w:ascii="Times New Roman" w:eastAsia="Times New Roman" w:hAnsi="Times New Roman" w:cs="Times New Roman"/>
          <w:sz w:val="24"/>
          <w:szCs w:val="24"/>
        </w:rPr>
        <w:t>, сокращенные сроки заключения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124D35" w:rsidRPr="00DE606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возврата денежных средств, внесенных в качестве обеспечения (20 и 7 дней соответственно), сокращенный перечень квалификационных требований);</w:t>
      </w:r>
    </w:p>
    <w:p w:rsidR="00F27A46" w:rsidRPr="00DE6060" w:rsidRDefault="00F27A46" w:rsidP="007B7ECF">
      <w:pPr>
        <w:spacing w:line="8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3CEA" w:rsidRPr="00DE6060" w:rsidRDefault="007B7ECF" w:rsidP="00CD4CE9">
      <w:pPr>
        <w:pStyle w:val="a4"/>
        <w:numPr>
          <w:ilvl w:val="1"/>
          <w:numId w:val="4"/>
        </w:numPr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пользователей </w:t>
      </w:r>
      <w:r w:rsidR="0061028A" w:rsidRPr="00DE6060">
        <w:rPr>
          <w:rFonts w:ascii="Times New Roman" w:eastAsia="Times New Roman" w:hAnsi="Times New Roman" w:cs="Times New Roman"/>
          <w:sz w:val="24"/>
          <w:szCs w:val="24"/>
        </w:rPr>
        <w:t>целевой аудитории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Фонда о проводимых обучениях субъектов МСП (проведение семинаров, </w:t>
      </w:r>
      <w:r w:rsidR="00AD3DB3" w:rsidRPr="00DE6060">
        <w:rPr>
          <w:rFonts w:ascii="Times New Roman" w:eastAsia="Times New Roman" w:hAnsi="Times New Roman" w:cs="Times New Roman"/>
          <w:sz w:val="24"/>
          <w:szCs w:val="24"/>
        </w:rPr>
        <w:t xml:space="preserve">конференций, вэбинаров, обучение </w:t>
      </w:r>
      <w:r w:rsidR="00584AD0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D3DB3" w:rsidRPr="00DE6060">
        <w:rPr>
          <w:rFonts w:ascii="Times New Roman" w:eastAsia="Times New Roman" w:hAnsi="Times New Roman" w:cs="Times New Roman"/>
          <w:sz w:val="24"/>
          <w:szCs w:val="24"/>
        </w:rPr>
        <w:t>корпоративных академиях, предоставление методических материалов, ведение специальных разделов на сайтах)</w:t>
      </w:r>
      <w:r w:rsidR="00C63CEA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3CEA" w:rsidRPr="00DE6060" w:rsidRDefault="00C63CEA" w:rsidP="00C63CE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D3DB3" w:rsidRPr="00DE6060" w:rsidRDefault="00C63CEA" w:rsidP="00CD4CE9">
      <w:pPr>
        <w:pStyle w:val="a4"/>
        <w:numPr>
          <w:ilvl w:val="1"/>
          <w:numId w:val="4"/>
        </w:numPr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с реализацией функции Центра поддержки предпринимательства реализована мера поддержки в виде содействия обеспечения участия субъектов МСП в торгах</w:t>
      </w:r>
      <w:r w:rsidR="00AD3DB3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8AB" w:rsidRPr="00DE6060" w:rsidRDefault="00710243" w:rsidP="00710243">
      <w:pPr>
        <w:spacing w:line="23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1.7. Текущее состояние и предпосылки развития информационной и маркетинговой поддержки субъектов предпринимательства</w:t>
      </w:r>
      <w:r w:rsidR="00D518AB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18AB" w:rsidRPr="00DE6060" w:rsidRDefault="00D518AB" w:rsidP="00D518AB">
      <w:pPr>
        <w:pStyle w:val="a4"/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 настоящее время на федеральном уровне для организаций, образующих инфраструктуру поддержки субъектов предпринимательства, выработаны единые требования к форматам и частоте оказания маркетинговой и информационной поддержки субъектам предпринимате</w:t>
      </w:r>
      <w:r w:rsidR="00321C17" w:rsidRPr="00DE6060">
        <w:rPr>
          <w:rFonts w:ascii="Times New Roman" w:eastAsia="Times New Roman" w:hAnsi="Times New Roman" w:cs="Times New Roman"/>
          <w:sz w:val="24"/>
          <w:szCs w:val="24"/>
        </w:rPr>
        <w:t>льства. 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дной из ключевых проблем развития предпринимательства в России, в особенности в части Чукотского автономного округа (ввиду слабых технических возможностей поддержания высокого качества услуг связи), является слабая осведомленность потенциальных предпринимателей о существующих рыночных нишах, финансовых и иных мерах поддержки.</w:t>
      </w:r>
    </w:p>
    <w:p w:rsidR="0061028A" w:rsidRPr="00DE6060" w:rsidRDefault="0061028A" w:rsidP="00BD4E8C">
      <w:pPr>
        <w:pStyle w:val="a4"/>
        <w:spacing w:line="219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</w:p>
    <w:p w:rsidR="006D3CC5" w:rsidRDefault="007C1754" w:rsidP="00CE1D70">
      <w:pPr>
        <w:pStyle w:val="a4"/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Реализовано</w:t>
      </w:r>
      <w:r w:rsidR="00D518AB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поэтапн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518AB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расширение сети информационных каналов 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A73724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724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>нформированность предпринимателей о доступных механизмах поддержки будет неуклонно расти в ближайшей перспективе 3</w:t>
      </w:r>
      <w:r w:rsidR="001B667A" w:rsidRPr="00DE6060">
        <w:rPr>
          <w:rFonts w:ascii="Times New Roman" w:eastAsia="Times New Roman" w:hAnsi="Times New Roman" w:cs="Times New Roman"/>
          <w:sz w:val="24"/>
          <w:szCs w:val="24"/>
        </w:rPr>
        <w:t xml:space="preserve"> (три)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 и Фонд при</w:t>
      </w:r>
      <w:r w:rsidR="00FD2BE0" w:rsidRPr="00DE6060">
        <w:rPr>
          <w:rFonts w:ascii="Times New Roman" w:eastAsia="Times New Roman" w:hAnsi="Times New Roman" w:cs="Times New Roman"/>
          <w:sz w:val="24"/>
          <w:szCs w:val="24"/>
        </w:rPr>
        <w:t>нял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эскалации доступных механизмов расширения информационного поля.</w:t>
      </w:r>
    </w:p>
    <w:p w:rsidR="00836016" w:rsidRPr="00DE6060" w:rsidRDefault="00836016" w:rsidP="00CE1D70">
      <w:pPr>
        <w:pStyle w:val="a4"/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691" w:rsidRPr="00DE6060" w:rsidRDefault="00F06691" w:rsidP="00CE1D70">
      <w:pPr>
        <w:pStyle w:val="a4"/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691" w:rsidRPr="00836016" w:rsidRDefault="00F06691" w:rsidP="00F06691">
      <w:pPr>
        <w:pStyle w:val="a4"/>
        <w:spacing w:after="0" w:line="219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0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2A8EEF7C" wp14:editId="488626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28800" cy="0"/>
                <wp:effectExtent l="0" t="0" r="19050" b="1905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487F3" id="Shape 6" o:spid="_x0000_s1026" style="position:absolute;z-index:-251419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2in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" o:allowincell="f" filled="t" strokeweight=".72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E6060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  <w:r w:rsidRPr="00836016">
        <w:rPr>
          <w:rFonts w:ascii="Times New Roman" w:eastAsia="Arial" w:hAnsi="Times New Roman" w:cs="Times New Roman"/>
          <w:sz w:val="20"/>
          <w:szCs w:val="20"/>
          <w:vertAlign w:val="superscript"/>
        </w:rPr>
        <w:t>2</w:t>
      </w:r>
      <w:r w:rsidRPr="00836016">
        <w:rPr>
          <w:rFonts w:ascii="Times New Roman" w:eastAsia="Times New Roman CYR" w:hAnsi="Times New Roman" w:cs="Times New Roman"/>
          <w:sz w:val="20"/>
          <w:szCs w:val="20"/>
        </w:rPr>
        <w:t xml:space="preserve">Материалы Минэкономразвития России к совещанию по вопросу </w:t>
      </w:r>
      <w:r w:rsidRPr="00836016">
        <w:rPr>
          <w:rFonts w:ascii="Times New Roman" w:eastAsia="Arial" w:hAnsi="Times New Roman" w:cs="Times New Roman"/>
          <w:sz w:val="20"/>
          <w:szCs w:val="20"/>
        </w:rPr>
        <w:t>«</w:t>
      </w:r>
      <w:r w:rsidRPr="00836016">
        <w:rPr>
          <w:rFonts w:ascii="Times New Roman" w:eastAsia="Times New Roman CYR" w:hAnsi="Times New Roman" w:cs="Times New Roman"/>
          <w:sz w:val="20"/>
          <w:szCs w:val="20"/>
        </w:rPr>
        <w:t>О повышении эффективности расходов государственных корпораций и компаний с государственным участием</w:t>
      </w:r>
      <w:r w:rsidRPr="00836016">
        <w:rPr>
          <w:rFonts w:ascii="Times New Roman" w:eastAsia="Arial" w:hAnsi="Times New Roman" w:cs="Times New Roman"/>
          <w:sz w:val="20"/>
          <w:szCs w:val="20"/>
        </w:rPr>
        <w:t>»</w:t>
      </w:r>
      <w:r w:rsidRPr="00836016">
        <w:rPr>
          <w:rFonts w:ascii="Times New Roman" w:eastAsia="Times New Roman CYR" w:hAnsi="Times New Roman" w:cs="Times New Roman"/>
          <w:sz w:val="20"/>
          <w:szCs w:val="20"/>
        </w:rPr>
        <w:t xml:space="preserve"> приведены по данным сайта </w:t>
      </w:r>
      <w:r w:rsidRPr="00836016">
        <w:rPr>
          <w:rFonts w:ascii="Times New Roman" w:eastAsia="Arial" w:hAnsi="Times New Roman" w:cs="Times New Roman"/>
          <w:sz w:val="20"/>
          <w:szCs w:val="20"/>
        </w:rPr>
        <w:t>zakupki.gov.ru.</w:t>
      </w:r>
    </w:p>
    <w:p w:rsidR="00F06691" w:rsidRPr="00836016" w:rsidRDefault="006223D1" w:rsidP="00F06691">
      <w:pPr>
        <w:pStyle w:val="a4"/>
        <w:tabs>
          <w:tab w:val="left" w:pos="462"/>
        </w:tabs>
        <w:spacing w:after="0" w:line="234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6016">
        <w:rPr>
          <w:rFonts w:ascii="Times New Roman" w:eastAsia="Arial" w:hAnsi="Times New Roman" w:cs="Times New Roman"/>
          <w:sz w:val="20"/>
          <w:szCs w:val="20"/>
          <w:vertAlign w:val="superscript"/>
        </w:rPr>
        <w:t>3</w:t>
      </w:r>
      <w:r w:rsidR="00F06691" w:rsidRPr="00836016">
        <w:rPr>
          <w:rFonts w:ascii="Times New Roman" w:eastAsia="Times New Roman CYR" w:hAnsi="Times New Roman" w:cs="Times New Roman"/>
          <w:sz w:val="20"/>
          <w:szCs w:val="20"/>
        </w:rPr>
        <w:t>Такие совещательные органы созданы в ГК «</w:t>
      </w:r>
      <w:proofErr w:type="spellStart"/>
      <w:r w:rsidR="00F06691" w:rsidRPr="00836016">
        <w:rPr>
          <w:rFonts w:ascii="Times New Roman" w:eastAsia="Times New Roman CYR" w:hAnsi="Times New Roman" w:cs="Times New Roman"/>
          <w:sz w:val="20"/>
          <w:szCs w:val="20"/>
        </w:rPr>
        <w:t>Росатом</w:t>
      </w:r>
      <w:proofErr w:type="spellEnd"/>
      <w:r w:rsidR="00F06691" w:rsidRPr="00836016">
        <w:rPr>
          <w:rFonts w:ascii="Times New Roman" w:eastAsia="Times New Roman CYR" w:hAnsi="Times New Roman" w:cs="Times New Roman"/>
          <w:sz w:val="20"/>
          <w:szCs w:val="20"/>
        </w:rPr>
        <w:t>», ОАО «РЖД», ОАО «НК «Роснефть», ПАО «</w:t>
      </w:r>
      <w:proofErr w:type="spellStart"/>
      <w:r w:rsidR="00F06691" w:rsidRPr="00836016">
        <w:rPr>
          <w:rFonts w:ascii="Times New Roman" w:eastAsia="Times New Roman CYR" w:hAnsi="Times New Roman" w:cs="Times New Roman"/>
          <w:sz w:val="20"/>
          <w:szCs w:val="20"/>
        </w:rPr>
        <w:t>Россети</w:t>
      </w:r>
      <w:proofErr w:type="spellEnd"/>
      <w:r w:rsidR="00F06691" w:rsidRPr="00836016">
        <w:rPr>
          <w:rFonts w:ascii="Times New Roman" w:eastAsia="Times New Roman CYR" w:hAnsi="Times New Roman" w:cs="Times New Roman"/>
          <w:sz w:val="20"/>
          <w:szCs w:val="20"/>
        </w:rPr>
        <w:t>», ПАО «Аэрофлот», ПАО «ФСК ЕЭС», ПАО «</w:t>
      </w:r>
      <w:proofErr w:type="spellStart"/>
      <w:r w:rsidR="00F06691" w:rsidRPr="00836016">
        <w:rPr>
          <w:rFonts w:ascii="Times New Roman" w:eastAsia="Times New Roman CYR" w:hAnsi="Times New Roman" w:cs="Times New Roman"/>
          <w:sz w:val="20"/>
          <w:szCs w:val="20"/>
        </w:rPr>
        <w:t>Русгидро</w:t>
      </w:r>
      <w:proofErr w:type="spellEnd"/>
      <w:r w:rsidR="00F06691" w:rsidRPr="00836016">
        <w:rPr>
          <w:rFonts w:ascii="Times New Roman" w:eastAsia="Times New Roman CYR" w:hAnsi="Times New Roman" w:cs="Times New Roman"/>
          <w:sz w:val="20"/>
          <w:szCs w:val="20"/>
        </w:rPr>
        <w:t>».</w:t>
      </w:r>
      <w:r w:rsidR="00F06691" w:rsidRPr="008360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06691" w:rsidRPr="00836016" w:rsidRDefault="00F06691" w:rsidP="00CE1D70">
      <w:pPr>
        <w:pStyle w:val="a4"/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2BE0" w:rsidRPr="00DE6060" w:rsidRDefault="00FD2BE0" w:rsidP="00CE1D70">
      <w:pPr>
        <w:pStyle w:val="a4"/>
        <w:spacing w:line="21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 2016 году информационное пространство Фонда реализовано посредством официального сайта www.fond87.ru, публикациями и интервью в рег</w:t>
      </w:r>
      <w:r w:rsidR="00821718">
        <w:rPr>
          <w:rFonts w:ascii="Times New Roman" w:eastAsia="Times New Roman" w:hAnsi="Times New Roman" w:cs="Times New Roman"/>
          <w:sz w:val="24"/>
          <w:szCs w:val="24"/>
        </w:rPr>
        <w:t>иональных СМИ. К окончанию 2019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 информационное пространство дополнено страницами в социальных сетях Инстаграмм, ВКонтакте, Фейсбук. Количество пу</w:t>
      </w:r>
      <w:r w:rsidR="00821718">
        <w:rPr>
          <w:rFonts w:ascii="Times New Roman" w:eastAsia="Times New Roman" w:hAnsi="Times New Roman" w:cs="Times New Roman"/>
          <w:sz w:val="24"/>
          <w:szCs w:val="24"/>
        </w:rPr>
        <w:t xml:space="preserve">бликаций выросло с 21 </w:t>
      </w:r>
      <w:proofErr w:type="spellStart"/>
      <w:r w:rsidR="00821718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821718">
        <w:rPr>
          <w:rFonts w:ascii="Times New Roman" w:eastAsia="Times New Roman" w:hAnsi="Times New Roman" w:cs="Times New Roman"/>
          <w:sz w:val="24"/>
          <w:szCs w:val="24"/>
        </w:rPr>
        <w:t xml:space="preserve"> в 2016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 до 94 в 2019г. Используется трансляция материалов об инвестиционной привлекательности региона посредством региональных СМИ, интервью и публикаций в СМИ ДФО и уровня РФ. Кроме того, материалы для привлечения инвесторов размещаются на интерактивных выставках и стендах в рамках межрегиональных форум</w:t>
      </w:r>
      <w:r w:rsidR="00B3340B" w:rsidRPr="00DE606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конференци</w:t>
      </w:r>
      <w:r w:rsidR="00B3340B" w:rsidRPr="00DE60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выстав</w:t>
      </w:r>
      <w:r w:rsidR="00B3340B" w:rsidRPr="00DE606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к.</w:t>
      </w:r>
    </w:p>
    <w:p w:rsidR="006D3CC5" w:rsidRPr="00DE6060" w:rsidRDefault="00FB6478" w:rsidP="008E371F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 xml:space="preserve">егиональные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порталы инвестиционной поддержки 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 xml:space="preserve">адаптированы для работы МСП. </w:t>
      </w:r>
      <w:r w:rsidR="00FD2BE0" w:rsidRPr="00DE60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пециализированные региональные порталы МСП предостав</w:t>
      </w:r>
      <w:r w:rsidR="00FD2BE0" w:rsidRPr="00DE606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информацию о программах и инфраструктуре поддержки, 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данных </w:t>
      </w:r>
      <w:r w:rsidR="0093035D"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выработанных федеральными структурами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 доступности рыночных ниш и платежеспособном спросе.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Задача Фонда дополнить публикуемые сведения данными по Чукотскому автономному округу и обеспечить их транслирование потребителям</w:t>
      </w:r>
      <w:r w:rsidR="00FD2BE0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выполнена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8E371F">
      <w:pPr>
        <w:spacing w:before="120" w:after="120" w:line="13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93035D" w:rsidP="008E371F">
      <w:pPr>
        <w:spacing w:before="120" w:after="12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Фондом,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сформировано пространство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систематизированных пространственных данных о спросе и конкурентной среде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регионе в целом. Сформирован пул информации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в привязке к территориям муниципальных образований</w:t>
      </w:r>
      <w:r w:rsidR="00A81AE7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существенно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упрости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удовлетворение спроса предпринимателей при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бизнес-планировани</w:t>
      </w:r>
      <w:r w:rsidR="00A81AE7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 содействии Фонда 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снизи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риски неудач, в том числе риски невозврата банковских кредитов.</w:t>
      </w:r>
    </w:p>
    <w:p w:rsidR="006D3CC5" w:rsidRPr="00DE6060" w:rsidRDefault="006D3CC5" w:rsidP="008E371F">
      <w:pPr>
        <w:spacing w:before="120" w:after="120" w:line="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93035D" w:rsidRPr="00DE6060" w:rsidRDefault="0093035D" w:rsidP="008E371F">
      <w:pPr>
        <w:spacing w:before="120" w:after="12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воспользова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лся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новейшими достижениями партнёров и иных структур финансового сектора экономики России, что</w:t>
      </w:r>
      <w:r w:rsidR="001B667A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позволи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востребованность со стороны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предпринимателей в услугах по анализу рынка, разработке плана маркетинга и бизнес-плана.</w:t>
      </w:r>
    </w:p>
    <w:p w:rsidR="00F06533" w:rsidRPr="00DE6060" w:rsidRDefault="00806B00" w:rsidP="00D518AB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Развитие стабильного широко развитого информационного поля Фонда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ключевым мероприятием по повышению эффективности 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 xml:space="preserve">оказываемой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субъектам предпринимательства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="00510A67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поэтапно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вал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систему доступа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к всесторонней информации, услугам, сервисам, различным видам поддержки бизнеса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>, в т.ч.</w:t>
      </w:r>
      <w:r w:rsidR="00F06533"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6533" w:rsidRPr="00DE6060" w:rsidRDefault="00806B00" w:rsidP="00D518AB">
      <w:pPr>
        <w:pStyle w:val="a4"/>
        <w:numPr>
          <w:ilvl w:val="0"/>
          <w:numId w:val="50"/>
        </w:numPr>
        <w:spacing w:before="240" w:after="240" w:line="235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через 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партнёрскую сеть с применением услуг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МФЦ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>. Фонд использова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созданную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>регион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инфраструктуру МФЦ и портал услуг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. Теперь клиенты Фонда могут оформить обращение из любого населенного пункта Чукотского АО, где имеется действующее подразделение МФЦ. 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ряд преобразований для расширения перечня услуг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Фонда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осуществлены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разработки дополнительных сервисов, которые можно получить также с использованием мобильных устройств, для оказания поддержки субъектам МСП путем создания комплексных услуг совместно с органами исполнительной власти всех уровней, организациями, составляющими инфраструктуру поддержки бизнеса, иными коммерческими организациями и учреждениями;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533" w:rsidRPr="00DE6060" w:rsidRDefault="00DF5566" w:rsidP="00D518AB">
      <w:pPr>
        <w:pStyle w:val="a4"/>
        <w:numPr>
          <w:ilvl w:val="0"/>
          <w:numId w:val="50"/>
        </w:numPr>
        <w:spacing w:before="240" w:after="240" w:line="20" w:lineRule="atLeast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r w:rsidR="00F0653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сайт Фонда</w:t>
      </w:r>
      <w:r w:rsidR="00806B00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региональные порталы государственных и муниципальных услуг (далее – порталы)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ссылки на услуги </w:t>
      </w:r>
      <w:r w:rsidR="006E32D8" w:rsidRPr="00DE60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A62244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предпринимательства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, производится регулярный информационный обмен посредством рассылки электронных писем</w:t>
      </w:r>
      <w:r w:rsidR="00F06533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6B00" w:rsidRPr="00DE6060" w:rsidRDefault="00A73023" w:rsidP="00D518AB">
      <w:pPr>
        <w:pStyle w:val="a4"/>
        <w:numPr>
          <w:ilvl w:val="0"/>
          <w:numId w:val="50"/>
        </w:numPr>
        <w:spacing w:before="240" w:after="240" w:line="20" w:lineRule="atLeast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Фонда </w:t>
      </w:r>
      <w:hyperlink r:id="rId11" w:history="1">
        <w:r w:rsidRPr="00DE606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DE606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DE606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fond</w:t>
        </w:r>
        <w:r w:rsidRPr="00DE606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87.</w:t>
        </w:r>
        <w:r w:rsidRPr="00DE6060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региональные порталы государственных и муниципальных услуг (далее – порталы)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- налажен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постоянный обмен ссылками на новостную ленту друг друга, а так же на услуги </w:t>
      </w:r>
      <w:r w:rsidR="004B2756" w:rsidRPr="00DE60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предпринимательств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1D91" w:rsidRPr="00DE6060">
        <w:rPr>
          <w:rFonts w:ascii="Times New Roman" w:eastAsia="Times New Roman" w:hAnsi="Times New Roman" w:cs="Times New Roman"/>
          <w:sz w:val="24"/>
          <w:szCs w:val="24"/>
        </w:rPr>
        <w:t xml:space="preserve">. В пределах Чукотского автономного округа наиболее 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</w:t>
      </w:r>
      <w:r w:rsidR="00221D91" w:rsidRPr="00DE6060">
        <w:rPr>
          <w:rFonts w:ascii="Times New Roman" w:eastAsia="Times New Roman" w:hAnsi="Times New Roman" w:cs="Times New Roman"/>
          <w:sz w:val="24"/>
          <w:szCs w:val="24"/>
        </w:rPr>
        <w:t>стабильны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е каналы</w:t>
      </w:r>
      <w:r w:rsidR="00221D91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связи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>, такие как</w:t>
      </w:r>
      <w:r w:rsidR="00221D9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периодические издание региональных газет, телевизионные региональные новости,</w:t>
      </w:r>
      <w:r w:rsidR="007E4D3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радио,</w:t>
      </w:r>
      <w:r w:rsidR="00221D9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стенды администраций муниципальных образований</w:t>
      </w:r>
      <w:r w:rsidR="00806B00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6B00" w:rsidRPr="00DE6060" w:rsidRDefault="00806B00" w:rsidP="00D71A96">
      <w:pPr>
        <w:spacing w:line="14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806B00" w:rsidRPr="00DE6060" w:rsidRDefault="00806B00" w:rsidP="008E371F">
      <w:pPr>
        <w:spacing w:before="120" w:after="120" w:line="14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6D3CC5">
      <w:pPr>
        <w:spacing w:line="234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A74874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 Текущее состояние и предпосылки развития имущественной поддержки субъектов МСП</w:t>
      </w:r>
    </w:p>
    <w:p w:rsidR="000C0EFF" w:rsidRPr="00DE6060" w:rsidRDefault="006D3CC5" w:rsidP="000C0EFF">
      <w:pPr>
        <w:tabs>
          <w:tab w:val="left" w:pos="1344"/>
        </w:tabs>
        <w:spacing w:before="120" w:after="12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Одной из форм поддержки субъектов МСП, предусмотренных Законом № 209-ФЗ, является имущественная поддержка.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Задача Фонда своевременно координировать предпринимателей о наличии потенциально интересного для бизнеса имущества и координировать о формах и способах его </w:t>
      </w:r>
      <w:r w:rsidR="00E36E9C" w:rsidRPr="00DE6060">
        <w:rPr>
          <w:rFonts w:ascii="Times New Roman" w:eastAsia="Times New Roman" w:hAnsi="Times New Roman" w:cs="Times New Roman"/>
          <w:sz w:val="24"/>
          <w:szCs w:val="24"/>
        </w:rPr>
        <w:t>получения/</w:t>
      </w:r>
      <w:r w:rsidR="000C0EFF" w:rsidRPr="00DE6060">
        <w:rPr>
          <w:rFonts w:ascii="Times New Roman" w:eastAsia="Times New Roman" w:hAnsi="Times New Roman" w:cs="Times New Roman"/>
          <w:sz w:val="24"/>
          <w:szCs w:val="24"/>
        </w:rPr>
        <w:t>эксплуатации.</w:t>
      </w:r>
    </w:p>
    <w:p w:rsidR="006D3CC5" w:rsidRPr="00DE6060" w:rsidRDefault="006D3CC5" w:rsidP="008E371F">
      <w:pPr>
        <w:spacing w:before="120" w:after="120" w:line="8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110A5" w:rsidP="008E1313">
      <w:pPr>
        <w:spacing w:before="120"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на регулярной основе информирует субъектов предпринимательства об оказании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имущественной поддержки субъектам МСП осуществляе</w:t>
      </w:r>
      <w:r w:rsidR="00EA26F5" w:rsidRPr="00DE6060">
        <w:rPr>
          <w:rFonts w:ascii="Times New Roman" w:eastAsia="Times New Roman" w:hAnsi="Times New Roman" w:cs="Times New Roman"/>
          <w:sz w:val="24"/>
          <w:szCs w:val="24"/>
        </w:rPr>
        <w:t>мой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органами государственной власти, органами местного самоуправления в виде передачи им во владение и (или) пользование государственного или муниципального имущества на возмездной основе, безвозмездной основе или на льготных условиях.</w:t>
      </w:r>
    </w:p>
    <w:p w:rsidR="006D3CC5" w:rsidRPr="00DE6060" w:rsidRDefault="006D3CC5" w:rsidP="006110A5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9A6DA8">
      <w:pPr>
        <w:spacing w:line="2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2448E" w:rsidP="009A6DA8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hAnsi="Times New Roman" w:cs="Times New Roman"/>
          <w:b/>
          <w:sz w:val="24"/>
          <w:szCs w:val="24"/>
        </w:rPr>
        <w:t>2</w:t>
      </w:r>
      <w:r w:rsidRPr="00DE6060">
        <w:rPr>
          <w:rFonts w:ascii="Times New Roman" w:hAnsi="Times New Roman" w:cs="Times New Roman"/>
          <w:sz w:val="24"/>
          <w:szCs w:val="24"/>
        </w:rPr>
        <w:t>.</w:t>
      </w:r>
      <w:r w:rsidR="00827D32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Сравнительный анализ </w:t>
      </w:r>
      <w:r w:rsidR="00D40D4E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опыта других регионов России и </w:t>
      </w:r>
      <w:r w:rsidR="006D3CC5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зарубежного опыта поддержки </w:t>
      </w:r>
      <w:r w:rsidR="00091707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091707" w:rsidRPr="00DE6060" w:rsidRDefault="00091707" w:rsidP="00091707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ускорение создания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эффективной системы поддержки предпринимательства Чукотского АО, как и России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осуществлено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="003656F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адаптации в 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регионе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наилучших международных практик и посредством налаживания межрегионального обмена лучшими практиками.</w:t>
      </w:r>
    </w:p>
    <w:p w:rsidR="006D3CC5" w:rsidRPr="00DE6060" w:rsidRDefault="00091707" w:rsidP="009A6DA8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целей актуализации механизмов поддержки предпринимательства Фонд на регулярной основе 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осуществлял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мониторинг вектора развития предпринимательства, перечн</w:t>
      </w:r>
      <w:r w:rsidR="00043A39" w:rsidRPr="00DE6060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передовых технологий в направлении оказания услуг и поддержки, а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спроса целевой аудитории.</w:t>
      </w:r>
      <w:r w:rsidR="00043A39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Привлекались ведущие партнёры ф</w:t>
      </w:r>
      <w:r w:rsidR="008E1313" w:rsidRPr="00DE6060">
        <w:rPr>
          <w:rFonts w:ascii="Times New Roman" w:eastAsia="Times New Roman" w:hAnsi="Times New Roman" w:cs="Times New Roman"/>
          <w:sz w:val="24"/>
          <w:szCs w:val="24"/>
        </w:rPr>
        <w:t>едерального уровня для реализации образовательных программ, организации мероприятий (форумов, конференций, круглых столов и т.п.)</w:t>
      </w:r>
    </w:p>
    <w:p w:rsidR="00B8124D" w:rsidRPr="00DE6060" w:rsidRDefault="00B8124D" w:rsidP="009A6DA8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Опыт поддержки </w:t>
      </w:r>
      <w:r w:rsidR="00A667E5" w:rsidRPr="00DE6060">
        <w:rPr>
          <w:rFonts w:ascii="Times New Roman" w:eastAsia="Times New Roman" w:hAnsi="Times New Roman" w:cs="Times New Roman"/>
          <w:b/>
          <w:sz w:val="24"/>
          <w:szCs w:val="24"/>
        </w:rPr>
        <w:t>субъектов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A9D" w:rsidRPr="00DE6060">
        <w:rPr>
          <w:rFonts w:ascii="Times New Roman" w:eastAsia="Times New Roman" w:hAnsi="Times New Roman" w:cs="Times New Roman"/>
          <w:b/>
          <w:sz w:val="24"/>
          <w:szCs w:val="24"/>
        </w:rPr>
        <w:t>бизнеса, в</w:t>
      </w:r>
      <w:r w:rsidR="00085826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т.ч. крупного сегмента</w:t>
      </w:r>
    </w:p>
    <w:p w:rsidR="00CA25F9" w:rsidRPr="00DE6060" w:rsidRDefault="003C76A6" w:rsidP="00EA0F94">
      <w:pPr>
        <w:tabs>
          <w:tab w:val="left" w:pos="993"/>
          <w:tab w:val="left" w:pos="1131"/>
        </w:tabs>
        <w:spacing w:after="0" w:line="238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24E5" w:rsidRPr="00DE6060">
        <w:rPr>
          <w:rFonts w:ascii="Times New Roman" w:eastAsia="Times New Roman" w:hAnsi="Times New Roman" w:cs="Times New Roman"/>
          <w:sz w:val="24"/>
          <w:szCs w:val="24"/>
        </w:rPr>
        <w:t>яд мер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из числа лучших практик</w:t>
      </w:r>
      <w:r w:rsidR="00E657FC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24E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E08" w:rsidRPr="00DE6060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F024E5" w:rsidRPr="00DE6060">
        <w:rPr>
          <w:rFonts w:ascii="Times New Roman" w:eastAsia="Times New Roman" w:hAnsi="Times New Roman" w:cs="Times New Roman"/>
          <w:sz w:val="24"/>
          <w:szCs w:val="24"/>
        </w:rPr>
        <w:t>применяемых в большей степени сегодня на территории Чукотского автономного округа</w:t>
      </w:r>
      <w:r w:rsidR="004205E9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успешно реализуется</w:t>
      </w:r>
      <w:r w:rsidR="00F024E5"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170F5" w:rsidRPr="00DE6060">
        <w:rPr>
          <w:rFonts w:ascii="Times New Roman" w:eastAsia="Times New Roman" w:hAnsi="Times New Roman" w:cs="Times New Roman"/>
          <w:sz w:val="24"/>
          <w:szCs w:val="24"/>
        </w:rPr>
        <w:t>Основным индикатором результатов работы механизма является рост доход</w:t>
      </w:r>
      <w:r w:rsidR="004205E9" w:rsidRPr="00DE60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170F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государства, рост рабочих мест, развитие инфраструктуры, повышение качества уровня жизни населения.</w:t>
      </w:r>
      <w:r w:rsidR="00CA25F9" w:rsidRPr="00DE6060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</w:p>
    <w:p w:rsidR="00EA0F94" w:rsidRPr="00DE6060" w:rsidRDefault="00EA0F94" w:rsidP="00EA0F94">
      <w:pPr>
        <w:tabs>
          <w:tab w:val="left" w:pos="993"/>
          <w:tab w:val="left" w:pos="1131"/>
        </w:tabs>
        <w:spacing w:after="0" w:line="238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vertAlign w:val="superscript"/>
        </w:rPr>
      </w:pPr>
    </w:p>
    <w:p w:rsidR="00B8124D" w:rsidRPr="00DE6060" w:rsidRDefault="00F024E5" w:rsidP="009A6DA8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 т.ч.</w:t>
      </w:r>
      <w:r w:rsidR="006170F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реализуются </w:t>
      </w:r>
      <w:r w:rsidR="003C76A6" w:rsidRPr="00DE6060">
        <w:rPr>
          <w:rFonts w:ascii="Times New Roman" w:eastAsia="Times New Roman" w:hAnsi="Times New Roman" w:cs="Times New Roman"/>
          <w:sz w:val="24"/>
          <w:szCs w:val="24"/>
        </w:rPr>
        <w:t xml:space="preserve">и пользуются спросом предпринимателей, при содействии Фонда, </w:t>
      </w:r>
      <w:r w:rsidR="006170F5" w:rsidRPr="00DE6060">
        <w:rPr>
          <w:rFonts w:ascii="Times New Roman" w:eastAsia="Times New Roman" w:hAnsi="Times New Roman" w:cs="Times New Roman"/>
          <w:sz w:val="24"/>
          <w:szCs w:val="24"/>
        </w:rPr>
        <w:t>следующие механизмы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24E5" w:rsidRPr="00DE6060" w:rsidRDefault="00F024E5" w:rsidP="00CD4CE9">
      <w:pPr>
        <w:pStyle w:val="a4"/>
        <w:numPr>
          <w:ilvl w:val="0"/>
          <w:numId w:val="63"/>
        </w:numPr>
        <w:tabs>
          <w:tab w:val="left" w:pos="993"/>
        </w:tabs>
        <w:spacing w:line="23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развитие особых экономических зон</w:t>
      </w:r>
      <w:r w:rsidR="00A667E5" w:rsidRPr="00DE6060">
        <w:rPr>
          <w:rFonts w:ascii="Times New Roman" w:hAnsi="Times New Roman" w:cs="Times New Roman"/>
          <w:sz w:val="24"/>
          <w:szCs w:val="24"/>
        </w:rPr>
        <w:t xml:space="preserve"> (ТОР, СПВ и т.п.)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F024E5" w:rsidRPr="00DE6060" w:rsidRDefault="00F024E5" w:rsidP="00CD4CE9">
      <w:pPr>
        <w:pStyle w:val="a4"/>
        <w:numPr>
          <w:ilvl w:val="0"/>
          <w:numId w:val="63"/>
        </w:numPr>
        <w:tabs>
          <w:tab w:val="left" w:pos="993"/>
        </w:tabs>
        <w:spacing w:line="23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применение механизмов поддержки региональных значимых инвестиционных проектов;</w:t>
      </w:r>
    </w:p>
    <w:p w:rsidR="00F024E5" w:rsidRPr="00DE6060" w:rsidRDefault="00F024E5" w:rsidP="00CD4CE9">
      <w:pPr>
        <w:pStyle w:val="a4"/>
        <w:numPr>
          <w:ilvl w:val="0"/>
          <w:numId w:val="63"/>
        </w:numPr>
        <w:tabs>
          <w:tab w:val="left" w:pos="993"/>
        </w:tabs>
        <w:spacing w:line="23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применение механизмов поддержки инвестиций</w:t>
      </w:r>
      <w:r w:rsidR="0017421F" w:rsidRPr="00DE6060">
        <w:rPr>
          <w:rFonts w:ascii="Times New Roman" w:hAnsi="Times New Roman" w:cs="Times New Roman"/>
          <w:sz w:val="24"/>
          <w:szCs w:val="24"/>
        </w:rPr>
        <w:t xml:space="preserve"> субъектами предпринимательства</w:t>
      </w:r>
      <w:r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4205E9" w:rsidRPr="00DE6060">
        <w:rPr>
          <w:rFonts w:ascii="Times New Roman" w:hAnsi="Times New Roman" w:cs="Times New Roman"/>
          <w:sz w:val="24"/>
          <w:szCs w:val="24"/>
        </w:rPr>
        <w:t>в</w:t>
      </w:r>
      <w:r w:rsidRPr="00DE6060">
        <w:rPr>
          <w:rFonts w:ascii="Times New Roman" w:hAnsi="Times New Roman" w:cs="Times New Roman"/>
          <w:sz w:val="24"/>
          <w:szCs w:val="24"/>
        </w:rPr>
        <w:t xml:space="preserve"> собственное производство посредством возмещения части затрат на приобретенное оборудование или технику;</w:t>
      </w:r>
    </w:p>
    <w:p w:rsidR="00F024E5" w:rsidRPr="00DE6060" w:rsidRDefault="00F024E5" w:rsidP="00CD4CE9">
      <w:pPr>
        <w:pStyle w:val="a4"/>
        <w:numPr>
          <w:ilvl w:val="0"/>
          <w:numId w:val="63"/>
        </w:numPr>
        <w:tabs>
          <w:tab w:val="left" w:pos="993"/>
        </w:tabs>
        <w:spacing w:line="23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возмещение части затрат на </w:t>
      </w:r>
      <w:r w:rsidR="00A66D62" w:rsidRPr="00DE6060">
        <w:rPr>
          <w:rFonts w:ascii="Times New Roman" w:hAnsi="Times New Roman" w:cs="Times New Roman"/>
          <w:sz w:val="24"/>
          <w:szCs w:val="24"/>
        </w:rPr>
        <w:t>обязательные расходы монопольных поставщиков (в т.ч. ввиду отсутствия альтернативных поставщиков, таких неотъемлемых ресурсов как например энергетика в районах Крайнего Севера);</w:t>
      </w:r>
    </w:p>
    <w:p w:rsidR="00A667E5" w:rsidRPr="00DE6060" w:rsidRDefault="00E657FC" w:rsidP="00CD4CE9">
      <w:pPr>
        <w:pStyle w:val="a4"/>
        <w:numPr>
          <w:ilvl w:val="0"/>
          <w:numId w:val="63"/>
        </w:numPr>
        <w:tabs>
          <w:tab w:val="left" w:pos="993"/>
        </w:tabs>
        <w:spacing w:line="234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прочие.</w:t>
      </w:r>
    </w:p>
    <w:p w:rsidR="00E657FC" w:rsidRPr="00DE6060" w:rsidRDefault="00E657FC" w:rsidP="00E657FC">
      <w:pPr>
        <w:pStyle w:val="a4"/>
        <w:spacing w:line="234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7FC" w:rsidRPr="00DE6060" w:rsidRDefault="00E657FC" w:rsidP="00E657FC">
      <w:pPr>
        <w:pStyle w:val="a4"/>
        <w:spacing w:line="234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2.2. Опыт поддержки субъектов </w:t>
      </w:r>
      <w:r w:rsidR="00085826" w:rsidRPr="00DE6060">
        <w:rPr>
          <w:rFonts w:ascii="Times New Roman" w:eastAsia="Times New Roman" w:hAnsi="Times New Roman" w:cs="Times New Roman"/>
          <w:b/>
          <w:sz w:val="24"/>
          <w:szCs w:val="24"/>
        </w:rPr>
        <w:t>МСП</w:t>
      </w:r>
    </w:p>
    <w:p w:rsidR="00135E17" w:rsidRPr="00DE6060" w:rsidRDefault="00D40D4E" w:rsidP="00D41593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135E17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6A6" w:rsidRPr="00DE6060">
        <w:rPr>
          <w:rFonts w:ascii="Times New Roman" w:eastAsia="Times New Roman" w:hAnsi="Times New Roman" w:cs="Times New Roman"/>
          <w:sz w:val="24"/>
          <w:szCs w:val="24"/>
        </w:rPr>
        <w:t>адаптировал, с учетом потребностей предпринимательского сообщества региона,</w:t>
      </w:r>
      <w:r w:rsidR="00135E1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Чукотском АО </w:t>
      </w:r>
      <w:r w:rsidR="003C76A6" w:rsidRPr="00DE6060">
        <w:rPr>
          <w:rFonts w:ascii="Times New Roman" w:eastAsia="Times New Roman" w:hAnsi="Times New Roman" w:cs="Times New Roman"/>
          <w:sz w:val="24"/>
          <w:szCs w:val="24"/>
        </w:rPr>
        <w:t xml:space="preserve">ряд </w:t>
      </w:r>
      <w:r w:rsidR="00135E17" w:rsidRPr="00DE6060">
        <w:rPr>
          <w:rFonts w:ascii="Times New Roman" w:eastAsia="Times New Roman" w:hAnsi="Times New Roman" w:cs="Times New Roman"/>
          <w:sz w:val="24"/>
          <w:szCs w:val="24"/>
        </w:rPr>
        <w:t>наиболее эффективных международных инструментов поддержки МСП по каждому из 5 направлений на основе опыта:</w:t>
      </w:r>
    </w:p>
    <w:p w:rsidR="00135E17" w:rsidRPr="00DE6060" w:rsidRDefault="00135E17" w:rsidP="00CD4CE9">
      <w:pPr>
        <w:numPr>
          <w:ilvl w:val="1"/>
          <w:numId w:val="6"/>
        </w:numPr>
        <w:tabs>
          <w:tab w:val="left" w:pos="1131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Финансовая поддержка: </w:t>
      </w:r>
      <w:r w:rsidR="0047772D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реализуемых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грант</w:t>
      </w:r>
      <w:r w:rsidR="0047772D" w:rsidRPr="00DE6060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субсиди</w:t>
      </w:r>
      <w:r w:rsidR="0047772D" w:rsidRPr="00DE6060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создание нового предприятия; </w:t>
      </w:r>
      <w:r w:rsidR="0047772D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субсидировани</w:t>
      </w:r>
      <w:r w:rsidR="0047772D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затрат на модернизацию предприятий; предоставление 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>поручительств и со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гарантий по банковским кредита</w:t>
      </w:r>
      <w:r w:rsidR="00D40D4E" w:rsidRPr="00DE6060">
        <w:rPr>
          <w:rFonts w:ascii="Times New Roman" w:eastAsia="Times New Roman" w:hAnsi="Times New Roman" w:cs="Times New Roman"/>
          <w:sz w:val="24"/>
          <w:szCs w:val="24"/>
        </w:rPr>
        <w:t>м МСП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</w:t>
      </w:r>
      <w:r w:rsidR="003A30D6" w:rsidRPr="00DE606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субсидировани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="00D40D4E" w:rsidRPr="00DE6060">
        <w:rPr>
          <w:rFonts w:ascii="Times New Roman" w:eastAsia="Times New Roman" w:hAnsi="Times New Roman" w:cs="Times New Roman"/>
          <w:sz w:val="24"/>
          <w:szCs w:val="24"/>
        </w:rPr>
        <w:t>центных ставок по кредитам МСП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E17" w:rsidRPr="00DE6060" w:rsidRDefault="00135E17" w:rsidP="00D41593">
      <w:pPr>
        <w:spacing w:after="0" w:line="16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3143B" w:rsidRPr="00DE6060" w:rsidRDefault="00135E17" w:rsidP="00CD4CE9">
      <w:pPr>
        <w:numPr>
          <w:ilvl w:val="1"/>
          <w:numId w:val="6"/>
        </w:numPr>
        <w:tabs>
          <w:tab w:val="left" w:pos="1131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Доступ к государственным закупкам и закупкам государственных компаний: </w:t>
      </w:r>
      <w:r w:rsidR="003A30D6" w:rsidRPr="00DE6060">
        <w:rPr>
          <w:rFonts w:ascii="Times New Roman" w:eastAsia="Times New Roman" w:hAnsi="Times New Roman" w:cs="Times New Roman"/>
          <w:sz w:val="24"/>
          <w:szCs w:val="24"/>
        </w:rPr>
        <w:t>инф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ормирование 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законодательно установленн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квот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МСП в закупках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государственных организаций</w:t>
      </w:r>
      <w:r w:rsidR="0051780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компаний с госучастием; информирование о государственных закупках через единый интернет-портал, реализуемых с возможностью подачи заявок.</w:t>
      </w:r>
      <w:r w:rsidR="0073143B" w:rsidRPr="00DE6060">
        <w:rPr>
          <w:rFonts w:ascii="Times New Roman" w:eastAsia="Arial" w:hAnsi="Times New Roman" w:cs="Times New Roman"/>
          <w:sz w:val="24"/>
          <w:szCs w:val="24"/>
          <w:vertAlign w:val="superscript"/>
        </w:rPr>
        <w:t xml:space="preserve"> </w:t>
      </w:r>
    </w:p>
    <w:p w:rsidR="00135E17" w:rsidRPr="00DE6060" w:rsidRDefault="00135E17" w:rsidP="00D41593">
      <w:pPr>
        <w:spacing w:after="0" w:line="1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35E17" w:rsidRPr="00DE6060" w:rsidRDefault="00135E17" w:rsidP="00CD4CE9">
      <w:pPr>
        <w:numPr>
          <w:ilvl w:val="1"/>
          <w:numId w:val="6"/>
        </w:numPr>
        <w:tabs>
          <w:tab w:val="left" w:pos="1131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Имущественная поддержка: предоставление </w:t>
      </w:r>
      <w:r w:rsidR="0047772D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информации 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бесплатных офисных помещени</w:t>
      </w:r>
      <w:r w:rsidR="0047772D" w:rsidRPr="00DE6060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A78" w:rsidRPr="00DE6060">
        <w:rPr>
          <w:rFonts w:ascii="Times New Roman" w:eastAsia="Times New Roman" w:hAnsi="Times New Roman" w:cs="Times New Roman"/>
          <w:sz w:val="24"/>
          <w:szCs w:val="24"/>
        </w:rPr>
        <w:t>для начинающих предпринимателей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5E17" w:rsidRPr="00DE6060" w:rsidRDefault="00135E17" w:rsidP="00D41593">
      <w:pPr>
        <w:spacing w:after="0" w:line="17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A1550" w:rsidRPr="00DE6060" w:rsidRDefault="00135E17" w:rsidP="00E357C0">
      <w:pPr>
        <w:numPr>
          <w:ilvl w:val="1"/>
          <w:numId w:val="6"/>
        </w:numPr>
        <w:tabs>
          <w:tab w:val="left" w:pos="1131"/>
        </w:tabs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Правовая поддержка: предоставление консультаций в области правовых аспектов создания</w:t>
      </w:r>
      <w:r w:rsidR="00D40D4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роста новых предприятий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30D6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271" w:rsidRPr="00DE6060" w:rsidRDefault="00DA1550" w:rsidP="00DA1550">
      <w:pPr>
        <w:numPr>
          <w:ilvl w:val="1"/>
          <w:numId w:val="6"/>
        </w:numPr>
        <w:tabs>
          <w:tab w:val="left" w:pos="1131"/>
        </w:tabs>
        <w:spacing w:after="0"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70271" w:rsidRPr="00DE6060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нформационно-маркетинговая поддержка: создание и поддержка 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 xml:space="preserve">координации с администрациями </w:t>
      </w:r>
      <w:r w:rsidR="00B70271" w:rsidRPr="00DE6060">
        <w:rPr>
          <w:rFonts w:ascii="Times New Roman" w:eastAsia="Times New Roman" w:hAnsi="Times New Roman" w:cs="Times New Roman"/>
          <w:sz w:val="24"/>
          <w:szCs w:val="24"/>
        </w:rPr>
        <w:t>единых интернет-порталов, содержащих информационные и обучающие материалы о мерах поддержки МСП; создание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сегмента и координация в рамках </w:t>
      </w:r>
      <w:r w:rsidR="00B70271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сети информационно-консультационных центров, предоставляющих исчерпывающую информацию о поддержке МСП; </w:t>
      </w:r>
      <w:r w:rsidR="00D41593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функций </w:t>
      </w:r>
      <w:r w:rsidR="00B70271" w:rsidRPr="00DE6060">
        <w:rPr>
          <w:rFonts w:ascii="Times New Roman" w:eastAsia="Times New Roman" w:hAnsi="Times New Roman" w:cs="Times New Roman"/>
          <w:sz w:val="24"/>
          <w:szCs w:val="24"/>
        </w:rPr>
        <w:t>«горячей линии» по вопросам поддержки МСП; создание</w:t>
      </w:r>
      <w:r w:rsidR="00697F23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региональных </w:t>
      </w:r>
      <w:r w:rsidR="00B70271" w:rsidRPr="00DE6060">
        <w:rPr>
          <w:rFonts w:ascii="Times New Roman" w:eastAsia="Times New Roman" w:hAnsi="Times New Roman" w:cs="Times New Roman"/>
          <w:sz w:val="24"/>
          <w:szCs w:val="24"/>
        </w:rPr>
        <w:t>информационных онлайн-инструментов, содержащих маркетинговую информацию для МСП.</w:t>
      </w:r>
    </w:p>
    <w:p w:rsidR="000C0EFF" w:rsidRPr="00DE6060" w:rsidRDefault="000C0EFF" w:rsidP="000C0EFF">
      <w:pPr>
        <w:tabs>
          <w:tab w:val="left" w:pos="1131"/>
        </w:tabs>
        <w:spacing w:after="0" w:line="23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0EFF" w:rsidRPr="00DE6060" w:rsidRDefault="000C0EFF" w:rsidP="000C0EFF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Приоритетные направления деятельности Фонда на 2017-2019 г</w:t>
      </w:r>
      <w:r w:rsidR="003A30D6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оды</w:t>
      </w:r>
    </w:p>
    <w:p w:rsidR="007665FA" w:rsidRPr="00DE6060" w:rsidRDefault="007665FA" w:rsidP="000C0EFF">
      <w:pPr>
        <w:pStyle w:val="a4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0EFF" w:rsidRPr="00DE6060" w:rsidRDefault="000C0EFF" w:rsidP="007665FA">
      <w:pPr>
        <w:pStyle w:val="a4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В соответствии с </w:t>
      </w:r>
      <w:r w:rsidRPr="00DE6060">
        <w:rPr>
          <w:rFonts w:ascii="Times New Roman" w:hAnsi="Times New Roman" w:cs="Times New Roman"/>
          <w:sz w:val="24"/>
          <w:szCs w:val="24"/>
        </w:rPr>
        <w:t>«</w:t>
      </w:r>
      <w:r w:rsidRPr="00DE6060">
        <w:rPr>
          <w:rFonts w:ascii="Times New Roman" w:hAnsi="Times New Roman" w:cs="Times New Roman"/>
          <w:b/>
          <w:sz w:val="24"/>
          <w:szCs w:val="24"/>
        </w:rPr>
        <w:t>Планом мероприятий («дорожной карты») внедрения в Чукотском автономном округе лучших практик Национального рейтинга состояния инвестиционного климата в субъектах Российской Федерации»:</w:t>
      </w:r>
    </w:p>
    <w:p w:rsidR="000C0EFF" w:rsidRPr="00DE6060" w:rsidRDefault="000C0EFF" w:rsidP="00986FE1">
      <w:pPr>
        <w:spacing w:before="120" w:after="12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Cs/>
          <w:sz w:val="24"/>
          <w:szCs w:val="24"/>
        </w:rPr>
        <w:t>Приоритетными направлениями деятельности Фонда, закрепленными на региональном уровне</w:t>
      </w:r>
      <w:r w:rsidR="000700D1" w:rsidRPr="00DE606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7D6F" w:rsidRPr="00DE6060">
        <w:rPr>
          <w:rFonts w:ascii="Times New Roman" w:eastAsia="Times New Roman" w:hAnsi="Times New Roman" w:cs="Times New Roman"/>
          <w:bCs/>
          <w:sz w:val="24"/>
          <w:szCs w:val="24"/>
        </w:rPr>
        <w:t>стали</w:t>
      </w:r>
      <w:r w:rsidRPr="00DE606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C0EFF" w:rsidRPr="00DE6060" w:rsidRDefault="000C0EFF" w:rsidP="00CD4CE9">
      <w:pPr>
        <w:pStyle w:val="a4"/>
        <w:numPr>
          <w:ilvl w:val="2"/>
          <w:numId w:val="64"/>
        </w:numPr>
        <w:spacing w:before="120" w:after="120" w:line="23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Привлечение резидентов и сопровождение резидентов территории опережающего социально-экономического развития «</w:t>
      </w:r>
      <w:r w:rsidR="002B7962" w:rsidRPr="00DE6060">
        <w:rPr>
          <w:rFonts w:ascii="Times New Roman" w:hAnsi="Times New Roman" w:cs="Times New Roman"/>
          <w:sz w:val="24"/>
          <w:szCs w:val="24"/>
        </w:rPr>
        <w:t>Чукотка</w:t>
      </w:r>
      <w:r w:rsidRPr="00DE6060">
        <w:rPr>
          <w:rFonts w:ascii="Times New Roman" w:hAnsi="Times New Roman" w:cs="Times New Roman"/>
          <w:sz w:val="24"/>
          <w:szCs w:val="24"/>
        </w:rPr>
        <w:t xml:space="preserve">» </w:t>
      </w:r>
      <w:r w:rsidR="00645EA5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  <w:r w:rsidRPr="00DE6060">
        <w:rPr>
          <w:rFonts w:ascii="Times New Roman" w:hAnsi="Times New Roman" w:cs="Times New Roman"/>
          <w:sz w:val="24"/>
          <w:szCs w:val="24"/>
        </w:rPr>
        <w:t xml:space="preserve"> «Фонд развития экономики и прямых инвестиций Чукотского автономного округа».</w:t>
      </w:r>
    </w:p>
    <w:p w:rsidR="00D45ACF" w:rsidRPr="00DE6060" w:rsidRDefault="00D45ACF" w:rsidP="00D45ACF">
      <w:pPr>
        <w:pStyle w:val="a4"/>
        <w:tabs>
          <w:tab w:val="left" w:pos="709"/>
        </w:tabs>
        <w:spacing w:before="120" w:after="1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Подробно в соответствии с </w:t>
      </w:r>
      <w:r w:rsidR="00383AD6" w:rsidRPr="00DE6060">
        <w:rPr>
          <w:rFonts w:ascii="Times New Roman" w:hAnsi="Times New Roman" w:cs="Times New Roman"/>
          <w:sz w:val="24"/>
          <w:szCs w:val="24"/>
        </w:rPr>
        <w:t xml:space="preserve">Приложением №1 </w:t>
      </w:r>
      <w:r w:rsidRPr="00DE6060">
        <w:rPr>
          <w:rFonts w:ascii="Times New Roman" w:hAnsi="Times New Roman" w:cs="Times New Roman"/>
          <w:sz w:val="24"/>
          <w:szCs w:val="24"/>
        </w:rPr>
        <w:t xml:space="preserve">Планом контролируемых параметров к Программе </w:t>
      </w:r>
      <w:r w:rsidR="00193A9D" w:rsidRPr="00DE6060">
        <w:rPr>
          <w:rFonts w:ascii="Times New Roman" w:hAnsi="Times New Roman" w:cs="Times New Roman"/>
          <w:sz w:val="24"/>
          <w:szCs w:val="24"/>
        </w:rPr>
        <w:t>деятельности,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НО "Фонд развития экономики и прямых инвестиций Чукотского автономного округа" на период 2017-2019 годы.</w:t>
      </w:r>
    </w:p>
    <w:p w:rsidR="007665FA" w:rsidRPr="00DE6060" w:rsidRDefault="007665FA" w:rsidP="00986FE1">
      <w:pPr>
        <w:pStyle w:val="a4"/>
        <w:spacing w:before="120" w:after="120" w:line="23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2B32" w:rsidRPr="00DE6060" w:rsidRDefault="00C02B32" w:rsidP="00CD4CE9">
      <w:pPr>
        <w:pStyle w:val="a4"/>
        <w:numPr>
          <w:ilvl w:val="2"/>
          <w:numId w:val="64"/>
        </w:numPr>
        <w:spacing w:before="120" w:after="120" w:line="238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Привлечение резидентов и сопровождение резидентов свободного порта Владивосток в городском округе </w:t>
      </w:r>
      <w:r w:rsidR="00193A9D" w:rsidRPr="00DE6060">
        <w:rPr>
          <w:rFonts w:ascii="Times New Roman" w:hAnsi="Times New Roman" w:cs="Times New Roman"/>
          <w:sz w:val="24"/>
          <w:szCs w:val="24"/>
        </w:rPr>
        <w:t>Певек,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НО «Фонд развития экономики и прямых инвестиций Чукотского автономного округа» в период с 01.06.2017г по 31.12.2018г.</w:t>
      </w:r>
    </w:p>
    <w:p w:rsidR="00D45ACF" w:rsidRPr="00DE6060" w:rsidRDefault="00D45ACF" w:rsidP="00D45ACF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Подробно в соответствии с </w:t>
      </w:r>
      <w:r w:rsidR="00383AD6" w:rsidRPr="00DE6060">
        <w:rPr>
          <w:rFonts w:ascii="Times New Roman" w:hAnsi="Times New Roman" w:cs="Times New Roman"/>
          <w:sz w:val="24"/>
          <w:szCs w:val="24"/>
        </w:rPr>
        <w:t xml:space="preserve">Приложением №1 </w:t>
      </w:r>
      <w:r w:rsidRPr="00DE6060">
        <w:rPr>
          <w:rFonts w:ascii="Times New Roman" w:hAnsi="Times New Roman" w:cs="Times New Roman"/>
          <w:sz w:val="24"/>
          <w:szCs w:val="24"/>
        </w:rPr>
        <w:t xml:space="preserve">Планом контролируемых параметров к Программе </w:t>
      </w:r>
      <w:r w:rsidR="00193A9D" w:rsidRPr="00DE6060">
        <w:rPr>
          <w:rFonts w:ascii="Times New Roman" w:hAnsi="Times New Roman" w:cs="Times New Roman"/>
          <w:sz w:val="24"/>
          <w:szCs w:val="24"/>
        </w:rPr>
        <w:t>деятельности,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НО "Фонд развития экономики и прямых инвестиций Чукотского автономного округа" на период 2017-2019 годы.</w:t>
      </w:r>
    </w:p>
    <w:p w:rsidR="00C02B32" w:rsidRPr="00DE6060" w:rsidRDefault="00C02B32" w:rsidP="00986FE1">
      <w:pPr>
        <w:pStyle w:val="a4"/>
        <w:spacing w:before="120" w:after="120" w:line="238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2B32" w:rsidRPr="00DE6060" w:rsidRDefault="00C02B32" w:rsidP="00CD4CE9">
      <w:pPr>
        <w:pStyle w:val="a4"/>
        <w:numPr>
          <w:ilvl w:val="2"/>
          <w:numId w:val="64"/>
        </w:numPr>
        <w:tabs>
          <w:tab w:val="left" w:pos="709"/>
        </w:tabs>
        <w:spacing w:before="120" w:after="120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193A9D" w:rsidRPr="00DE6060">
        <w:rPr>
          <w:rFonts w:ascii="Times New Roman" w:hAnsi="Times New Roman" w:cs="Times New Roman"/>
          <w:sz w:val="24"/>
          <w:szCs w:val="24"/>
        </w:rPr>
        <w:t>полномочий,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НО «Фонд развития экономики и прямых инвестиций Чукотского автономного округа» в части предоставления гарантий субъектам малого и среднего предпринимательства. В том числе</w:t>
      </w:r>
      <w:r w:rsidR="002679C1" w:rsidRPr="00DE6060">
        <w:rPr>
          <w:rFonts w:ascii="Times New Roman" w:hAnsi="Times New Roman" w:cs="Times New Roman"/>
          <w:sz w:val="24"/>
          <w:szCs w:val="24"/>
        </w:rPr>
        <w:t>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в рамках поручений обеспечение развития системы поручительств и независимых гарантий субъектам малого и среднего предпринимательства. </w:t>
      </w:r>
    </w:p>
    <w:p w:rsidR="00D45ACF" w:rsidRPr="00DE6060" w:rsidRDefault="00D45ACF" w:rsidP="00D45ACF">
      <w:pPr>
        <w:tabs>
          <w:tab w:val="left" w:pos="709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Подробно в соответствии с </w:t>
      </w:r>
      <w:r w:rsidR="00383AD6" w:rsidRPr="00DE6060">
        <w:rPr>
          <w:rFonts w:ascii="Times New Roman" w:hAnsi="Times New Roman" w:cs="Times New Roman"/>
          <w:sz w:val="24"/>
          <w:szCs w:val="24"/>
        </w:rPr>
        <w:t xml:space="preserve">Приложением №1 </w:t>
      </w:r>
      <w:r w:rsidRPr="00DE6060">
        <w:rPr>
          <w:rFonts w:ascii="Times New Roman" w:hAnsi="Times New Roman" w:cs="Times New Roman"/>
          <w:sz w:val="24"/>
          <w:szCs w:val="24"/>
        </w:rPr>
        <w:t xml:space="preserve">Планом контролируемых параметров к Программе </w:t>
      </w:r>
      <w:r w:rsidR="00193A9D" w:rsidRPr="00DE6060">
        <w:rPr>
          <w:rFonts w:ascii="Times New Roman" w:hAnsi="Times New Roman" w:cs="Times New Roman"/>
          <w:sz w:val="24"/>
          <w:szCs w:val="24"/>
        </w:rPr>
        <w:t>деятельности,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НО "Фонд развития экономики и прямых инвестиций Чукотского автономного округа" на период 2017-2019 годы.</w:t>
      </w:r>
    </w:p>
    <w:p w:rsidR="00C02B32" w:rsidRPr="00DE6060" w:rsidRDefault="00C02B32" w:rsidP="00986FE1">
      <w:pPr>
        <w:pStyle w:val="a4"/>
        <w:tabs>
          <w:tab w:val="left" w:pos="1816"/>
        </w:tabs>
        <w:spacing w:before="120"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2B32" w:rsidRPr="00DE6060" w:rsidRDefault="00C02B32" w:rsidP="00CD4CE9">
      <w:pPr>
        <w:pStyle w:val="a4"/>
        <w:numPr>
          <w:ilvl w:val="2"/>
          <w:numId w:val="64"/>
        </w:numPr>
        <w:tabs>
          <w:tab w:val="left" w:pos="1816"/>
        </w:tabs>
        <w:spacing w:before="120"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Параллельно с утверждёнными в Дорожной карте мероприятиями в зону ответственности, в рамках реализации основных видов деятельности, НО «Фонд развития экономики и прямых инвестиций Чукотского автономного округа» </w:t>
      </w:r>
      <w:r w:rsidR="00A97D6F" w:rsidRPr="00DE6060">
        <w:rPr>
          <w:rFonts w:ascii="Times New Roman" w:hAnsi="Times New Roman" w:cs="Times New Roman"/>
          <w:sz w:val="24"/>
          <w:szCs w:val="24"/>
        </w:rPr>
        <w:t>вошло</w:t>
      </w:r>
      <w:r w:rsidRPr="00DE6060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C02B32" w:rsidRPr="00DE6060" w:rsidRDefault="00C02B32" w:rsidP="00CD4CE9">
      <w:pPr>
        <w:pStyle w:val="a4"/>
        <w:numPr>
          <w:ilvl w:val="0"/>
          <w:numId w:val="61"/>
        </w:numPr>
        <w:spacing w:before="120" w:after="12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Информирование в рамках текущей </w:t>
      </w:r>
      <w:r w:rsidR="00193A9D" w:rsidRPr="00DE6060">
        <w:rPr>
          <w:rFonts w:ascii="Times New Roman" w:hAnsi="Times New Roman" w:cs="Times New Roman"/>
          <w:sz w:val="24"/>
          <w:szCs w:val="24"/>
        </w:rPr>
        <w:t>деятельности</w:t>
      </w:r>
      <w:r w:rsidR="00F47858" w:rsidRPr="00DE6060">
        <w:rPr>
          <w:rFonts w:ascii="Times New Roman" w:hAnsi="Times New Roman" w:cs="Times New Roman"/>
          <w:sz w:val="24"/>
          <w:szCs w:val="24"/>
        </w:rPr>
        <w:t xml:space="preserve"> Фондом</w:t>
      </w:r>
      <w:r w:rsidR="00193A9D" w:rsidRPr="00DE6060">
        <w:rPr>
          <w:rFonts w:ascii="Times New Roman" w:hAnsi="Times New Roman" w:cs="Times New Roman"/>
          <w:sz w:val="24"/>
          <w:szCs w:val="24"/>
        </w:rPr>
        <w:t>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предпринимательской среды и населения о налоговых льготах, установленных на территории округа по специальным налоговым режимам с использованием разнообразных каналов коммуникаций передачи информации (в том числе посредством: СМИ, Интернет-ресурсов</w:t>
      </w:r>
      <w:r w:rsidR="00645EA5">
        <w:rPr>
          <w:rFonts w:ascii="Times New Roman" w:hAnsi="Times New Roman" w:cs="Times New Roman"/>
          <w:sz w:val="24"/>
          <w:szCs w:val="24"/>
        </w:rPr>
        <w:t>, мессенджеров</w:t>
      </w:r>
      <w:r w:rsidRPr="00DE6060">
        <w:rPr>
          <w:rFonts w:ascii="Times New Roman" w:hAnsi="Times New Roman" w:cs="Times New Roman"/>
          <w:sz w:val="24"/>
          <w:szCs w:val="24"/>
        </w:rPr>
        <w:t>).</w:t>
      </w:r>
    </w:p>
    <w:p w:rsidR="00125886" w:rsidRPr="00DE6060" w:rsidRDefault="00C30AFA" w:rsidP="0024160B">
      <w:pPr>
        <w:pStyle w:val="a4"/>
        <w:spacing w:before="120" w:after="120" w:line="238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Подробно в соответствии с Приложением №1 Планом контролируемых параметров к Программе</w:t>
      </w:r>
      <w:r w:rsidR="00314252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193A9D" w:rsidRPr="00DE6060">
        <w:rPr>
          <w:rFonts w:ascii="Times New Roman" w:hAnsi="Times New Roman" w:cs="Times New Roman"/>
          <w:sz w:val="24"/>
          <w:szCs w:val="24"/>
        </w:rPr>
        <w:t>деятельности,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НО "Фонд развития экономики и прямых инвестиций Чукотского автономного округа" на период 2017-2019 годы.</w:t>
      </w:r>
    </w:p>
    <w:p w:rsidR="00C30AFA" w:rsidRPr="00DE6060" w:rsidRDefault="00C30AFA" w:rsidP="0024160B">
      <w:pPr>
        <w:pStyle w:val="a4"/>
        <w:spacing w:before="120" w:after="120" w:line="238" w:lineRule="auto"/>
        <w:ind w:left="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C02B32" w:rsidRPr="00DE6060" w:rsidRDefault="00C02B32" w:rsidP="00CD4CE9">
      <w:pPr>
        <w:pStyle w:val="a4"/>
        <w:numPr>
          <w:ilvl w:val="0"/>
          <w:numId w:val="61"/>
        </w:numPr>
        <w:spacing w:before="120" w:after="12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участие в проводимых совещаниях (круглых столах) с представителями бизнес-сообществ по вопросам, затрагивающим предпринимательскую и инвестиционную деятельность.</w:t>
      </w:r>
    </w:p>
    <w:p w:rsidR="00C30AFA" w:rsidRPr="00DE6060" w:rsidRDefault="00C30AFA" w:rsidP="00EB0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Подробно в соответствии с Приложением №1 Планом контролируемых параметров к Программе </w:t>
      </w:r>
      <w:r w:rsidR="00193A9D" w:rsidRPr="00DE6060">
        <w:rPr>
          <w:rFonts w:ascii="Times New Roman" w:hAnsi="Times New Roman" w:cs="Times New Roman"/>
          <w:sz w:val="24"/>
          <w:szCs w:val="24"/>
        </w:rPr>
        <w:t>деятельности,</w:t>
      </w:r>
      <w:r w:rsidRPr="00DE6060">
        <w:rPr>
          <w:rFonts w:ascii="Times New Roman" w:hAnsi="Times New Roman" w:cs="Times New Roman"/>
          <w:sz w:val="24"/>
          <w:szCs w:val="24"/>
        </w:rPr>
        <w:t xml:space="preserve"> НО "Фонд развития экономики и прямых инвестиций Чукотского автономного округа" на период 2017-2019 годы.</w:t>
      </w:r>
    </w:p>
    <w:p w:rsidR="00C30AFA" w:rsidRPr="00DE6060" w:rsidRDefault="00C30AFA" w:rsidP="00EB0C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4160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02B32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Финансовая поддержка субъектов </w:t>
      </w:r>
      <w:r w:rsidR="00D40D4E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6D3CC5" w:rsidRPr="00DE6060" w:rsidRDefault="006D3CC5" w:rsidP="0024160B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Основными направлениями деятельности </w:t>
      </w:r>
      <w:r w:rsidR="00C163B5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по оказанию финансовой</w:t>
      </w:r>
      <w:r w:rsidR="00C163B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поддержки субъектам </w:t>
      </w:r>
      <w:r w:rsidR="00EC6972" w:rsidRPr="00DE6060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="00C163B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2017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C163B5"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E32095" w:rsidRPr="00DE6060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CC5" w:rsidRPr="00DE6060" w:rsidRDefault="006D3CC5" w:rsidP="0024160B">
      <w:pPr>
        <w:spacing w:line="11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C972F6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оказание гарантийной поддержки субъектам МСП: выдача поручительств</w:t>
      </w:r>
      <w:r w:rsidR="001B0206" w:rsidRPr="00DE606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независимых гарантий</w:t>
      </w:r>
      <w:r w:rsidR="00EC6972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206" w:rsidRPr="00DE6060">
        <w:rPr>
          <w:rFonts w:ascii="Times New Roman" w:eastAsia="Times New Roman" w:hAnsi="Times New Roman" w:cs="Times New Roman"/>
          <w:sz w:val="24"/>
          <w:szCs w:val="24"/>
        </w:rPr>
        <w:t xml:space="preserve">/согарантий </w:t>
      </w:r>
      <w:r w:rsidR="00EC6972" w:rsidRPr="00DE6060">
        <w:rPr>
          <w:rFonts w:ascii="Times New Roman" w:eastAsia="Times New Roman" w:hAnsi="Times New Roman" w:cs="Times New Roman"/>
          <w:sz w:val="24"/>
          <w:szCs w:val="24"/>
        </w:rPr>
        <w:t>в качестве региональной гарантийной организации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C972F6">
      <w:pPr>
        <w:spacing w:before="120" w:after="0" w:line="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C972F6">
      <w:pPr>
        <w:spacing w:before="120" w:after="0" w:line="234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организация иных форм финансовой поддержки субъектов </w:t>
      </w:r>
      <w:r w:rsidR="00D40D4E" w:rsidRPr="00DE6060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включая развитие лизинговых и факторинговых операций, разработку </w:t>
      </w:r>
      <w:r w:rsidR="005D0020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представителям партнёрской среды Фонда по внедрению и реализации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механизмов рефинансирования долговых обязательств субъектов </w:t>
      </w:r>
      <w:r w:rsidR="00D40D4E" w:rsidRPr="00DE6060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="007E5FA8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учетом специфики региона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C972F6">
      <w:pPr>
        <w:spacing w:before="120" w:after="0" w:line="233" w:lineRule="auto"/>
        <w:ind w:left="260" w:right="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привлечение денежных средств российских, иностранных и международных организаций в целях поддержки субъектов </w:t>
      </w:r>
      <w:r w:rsidR="00D40D4E" w:rsidRPr="00DE6060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2095" w:rsidRPr="00DE6060" w:rsidRDefault="00E32095" w:rsidP="00C972F6">
      <w:pPr>
        <w:spacing w:before="120" w:after="0" w:line="233" w:lineRule="auto"/>
        <w:ind w:left="260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Выполнено. Осуществляется поддержка субъектов предпринимательства в режиме "одного окна" несколькими способами: 1) </w:t>
      </w:r>
      <w:r w:rsidR="00296208" w:rsidRPr="00DE6060">
        <w:rPr>
          <w:rFonts w:ascii="Times New Roman" w:hAnsi="Times New Roman" w:cs="Times New Roman"/>
          <w:sz w:val="24"/>
          <w:szCs w:val="24"/>
        </w:rPr>
        <w:t xml:space="preserve">выдача поручительств по кредитам бизнеса; 2) </w:t>
      </w:r>
      <w:r w:rsidRPr="00DE6060">
        <w:rPr>
          <w:rFonts w:ascii="Times New Roman" w:hAnsi="Times New Roman" w:cs="Times New Roman"/>
          <w:sz w:val="24"/>
          <w:szCs w:val="24"/>
        </w:rPr>
        <w:t>подбор кредитных продуктов в коммерческих банках-партнёрах, являющихся частью НГС, лизинговых компаний, государственных корпораций и фондов, негосудаственных фондов (Купол), государственные меры поддержки в виде субсидий/</w:t>
      </w:r>
      <w:r w:rsidR="00296208" w:rsidRPr="00DE6060">
        <w:rPr>
          <w:rFonts w:ascii="Times New Roman" w:hAnsi="Times New Roman" w:cs="Times New Roman"/>
          <w:sz w:val="24"/>
          <w:szCs w:val="24"/>
        </w:rPr>
        <w:t>грантов/налоговых льгот и т.д. 3</w:t>
      </w:r>
      <w:r w:rsidRPr="00DE6060">
        <w:rPr>
          <w:rFonts w:ascii="Times New Roman" w:hAnsi="Times New Roman" w:cs="Times New Roman"/>
          <w:sz w:val="24"/>
          <w:szCs w:val="24"/>
        </w:rPr>
        <w:t>) осуществляется размещение на постоянной основе на ресурсах Фонда в сети интернет ссылки на ресурсы государственных корпораций/фондов/инвест-площадок, а так же инструменты АО Корпорации МСП.</w:t>
      </w:r>
    </w:p>
    <w:p w:rsidR="006D3CC5" w:rsidRPr="00DE6060" w:rsidRDefault="006D3CC5" w:rsidP="006D3CC5">
      <w:pPr>
        <w:spacing w:line="330" w:lineRule="exact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5B6007">
      <w:pPr>
        <w:spacing w:line="235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9818AA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.1. О</w:t>
      </w:r>
      <w:r w:rsidR="00D40481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рганизация выдачи поручительств/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независимых гарантий</w:t>
      </w:r>
      <w:r w:rsidR="00D40481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/согарантий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субъектам </w:t>
      </w:r>
      <w:r w:rsidR="006652E1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предпринимательства, в т.ч.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МСП</w:t>
      </w:r>
    </w:p>
    <w:p w:rsidR="001C0409" w:rsidRPr="00DE6060" w:rsidRDefault="00912114" w:rsidP="00CD4CE9">
      <w:pPr>
        <w:pStyle w:val="a4"/>
        <w:numPr>
          <w:ilvl w:val="3"/>
          <w:numId w:val="65"/>
        </w:numPr>
        <w:tabs>
          <w:tab w:val="left" w:pos="993"/>
        </w:tabs>
        <w:spacing w:after="0" w:line="23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целях повышения доступности финансирования для субъектов МСП </w:t>
      </w:r>
      <w:r w:rsidR="00E20AC0" w:rsidRPr="00DE6060">
        <w:rPr>
          <w:rFonts w:ascii="Times New Roman" w:eastAsia="Times New Roman" w:hAnsi="Times New Roman" w:cs="Times New Roman"/>
          <w:b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0997" w:rsidRPr="00DE6060">
        <w:rPr>
          <w:rFonts w:ascii="Times New Roman" w:eastAsia="Times New Roman" w:hAnsi="Times New Roman" w:cs="Times New Roman"/>
          <w:b/>
          <w:sz w:val="24"/>
          <w:szCs w:val="24"/>
        </w:rPr>
        <w:t>сформир</w:t>
      </w:r>
      <w:r w:rsidR="00E32095" w:rsidRPr="00DE6060">
        <w:rPr>
          <w:rFonts w:ascii="Times New Roman" w:eastAsia="Times New Roman" w:hAnsi="Times New Roman" w:cs="Times New Roman"/>
          <w:b/>
          <w:sz w:val="24"/>
          <w:szCs w:val="24"/>
        </w:rPr>
        <w:t>овал</w:t>
      </w:r>
      <w:r w:rsidR="00C90997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гарантийный капитал</w:t>
      </w:r>
      <w:r w:rsidR="00E3209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AC0" w:rsidRPr="00DE6060">
        <w:rPr>
          <w:rFonts w:ascii="Times New Roman" w:eastAsia="Times New Roman" w:hAnsi="Times New Roman" w:cs="Times New Roman"/>
          <w:sz w:val="24"/>
          <w:szCs w:val="24"/>
        </w:rPr>
        <w:t>за счет средств субсидии из бюджета Чукотского автономного округа и за счет</w:t>
      </w:r>
      <w:r w:rsidR="00E3209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="00E20AC0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095" w:rsidRPr="00DE6060">
        <w:rPr>
          <w:rFonts w:ascii="Times New Roman" w:eastAsia="Times New Roman" w:hAnsi="Times New Roman" w:cs="Times New Roman"/>
          <w:sz w:val="24"/>
          <w:szCs w:val="24"/>
        </w:rPr>
        <w:t>федерального бюджета</w:t>
      </w:r>
      <w:r w:rsidR="00DF7C66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409" w:rsidRPr="00DE6060" w:rsidRDefault="001C0409" w:rsidP="001C0409">
      <w:pPr>
        <w:pStyle w:val="a4"/>
        <w:tabs>
          <w:tab w:val="left" w:pos="993"/>
        </w:tabs>
        <w:spacing w:after="0" w:line="23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2017 году Фондом получено финансирование РБ 50 млн.руб. для формирования гарантийного капитала Фонда в качестве региональной гарантийной организации. В 2019 году Капитал Фонда пополнен за счет средств ФБ на сумму 110 млн.руб. С учетом полученного дохода от размещения гарантийного капитала в депозиты на 01.01.2020г гарантийный капитал составляет 161,9 млн.руб. Предоставлено поручительств и согарантий в 2017 году 1 шт. на сумму 4,2 млн.руб., в 2018 году 9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шт.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сумму 24,6 млн.руб., в 2019 году 17 шт. на сумму 131,2 млн.руб. За три года выдано 27 поручительств на сумму 160,0 млн.руб. и получено субъектами МСП финансирование за счет кредитов с применением поручительств в сумме 455,4 млн.руб. План перевыполнен за три года в количественных показателях на 29,6%, в денежном выражении на 116%.</w:t>
      </w:r>
    </w:p>
    <w:p w:rsidR="006D3CC5" w:rsidRPr="00DE6060" w:rsidRDefault="001C0409" w:rsidP="001C0409">
      <w:pPr>
        <w:pStyle w:val="a4"/>
        <w:tabs>
          <w:tab w:val="left" w:pos="993"/>
        </w:tabs>
        <w:spacing w:after="0" w:line="23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Решены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следующие основные задачи:</w:t>
      </w:r>
    </w:p>
    <w:p w:rsidR="006D3CC5" w:rsidRPr="00DE6060" w:rsidRDefault="006D3CC5" w:rsidP="006D3CC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18AA" w:rsidRPr="00DE6060" w:rsidRDefault="006D3CC5" w:rsidP="00C90997">
      <w:pPr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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улучшение услов</w:t>
      </w:r>
      <w:r w:rsidR="009818AA" w:rsidRPr="00DE6060">
        <w:rPr>
          <w:rFonts w:ascii="Times New Roman" w:eastAsia="Times New Roman" w:hAnsi="Times New Roman" w:cs="Times New Roman"/>
          <w:sz w:val="24"/>
          <w:szCs w:val="24"/>
        </w:rPr>
        <w:t>ий финансирования субъектов МСП, в т.ч.</w:t>
      </w:r>
    </w:p>
    <w:p w:rsidR="009818AA" w:rsidRPr="00DE6060" w:rsidRDefault="009818AA" w:rsidP="00C972F6">
      <w:pPr>
        <w:spacing w:after="0"/>
        <w:ind w:left="2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с применением механизмов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сокращени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стоимости фондирования для банков при взаимо</w:t>
      </w:r>
      <w:r w:rsidR="000528FD" w:rsidRPr="00DE6060">
        <w:rPr>
          <w:rFonts w:ascii="Times New Roman" w:eastAsia="Times New Roman" w:hAnsi="Times New Roman" w:cs="Times New Roman"/>
          <w:sz w:val="24"/>
          <w:szCs w:val="24"/>
        </w:rPr>
        <w:t xml:space="preserve">действии с Банком России, </w:t>
      </w:r>
    </w:p>
    <w:p w:rsidR="009818AA" w:rsidRPr="00DE6060" w:rsidRDefault="009818AA" w:rsidP="00C972F6">
      <w:pPr>
        <w:spacing w:after="0"/>
        <w:ind w:left="2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ресурсов </w:t>
      </w:r>
      <w:r w:rsidR="000528FD" w:rsidRPr="00DE6060">
        <w:rPr>
          <w:rFonts w:ascii="Times New Roman" w:eastAsia="Times New Roman" w:hAnsi="Times New Roman" w:cs="Times New Roman"/>
          <w:sz w:val="24"/>
          <w:szCs w:val="24"/>
        </w:rPr>
        <w:t>коммерчески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0528F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банк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528F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при обязательстве снижения ставки для МСП</w:t>
      </w:r>
      <w:r w:rsidR="001760D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 счет применения гарантий и поручительств/гарантий/</w:t>
      </w:r>
      <w:proofErr w:type="spellStart"/>
      <w:r w:rsidR="001760D1" w:rsidRPr="00DE6060">
        <w:rPr>
          <w:rFonts w:ascii="Times New Roman" w:eastAsia="Times New Roman" w:hAnsi="Times New Roman" w:cs="Times New Roman"/>
          <w:sz w:val="24"/>
          <w:szCs w:val="24"/>
        </w:rPr>
        <w:t>согарантий</w:t>
      </w:r>
      <w:proofErr w:type="spellEnd"/>
      <w:r w:rsidR="001760D1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A07" w:rsidRPr="00DE60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1760D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предпринимательства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818AA" w:rsidRPr="00DE6060" w:rsidRDefault="009818AA" w:rsidP="00C972F6">
      <w:pPr>
        <w:spacing w:after="0"/>
        <w:ind w:left="2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- ресурсов Фонда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развития Дальнего Востока и Байкальского региона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в т.ч. для целей докапитализации гарантийного капитала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Фонда,</w:t>
      </w:r>
    </w:p>
    <w:p w:rsidR="006D3CC5" w:rsidRPr="00DE6060" w:rsidRDefault="009818AA" w:rsidP="00C972F6">
      <w:pPr>
        <w:spacing w:before="120" w:after="120"/>
        <w:ind w:left="26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652E1" w:rsidRPr="00DE6060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>ных федеральных структур деятельность которых направлена на льготное финансирование инвестиционной деятельности субъектов предпринимательства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C972F6">
      <w:pPr>
        <w:spacing w:before="120" w:after="120" w:line="239" w:lineRule="auto"/>
        <w:ind w:left="260" w:right="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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снижение кредитных рисков финансирования МСП для финансовых организаций путем разделения рисков;</w:t>
      </w:r>
    </w:p>
    <w:p w:rsidR="006D3CC5" w:rsidRPr="00DE6060" w:rsidRDefault="006D3CC5" w:rsidP="00C90997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BA8" w:rsidRPr="00DE6060" w:rsidRDefault="006D3CC5" w:rsidP="00C90997">
      <w:pPr>
        <w:spacing w:line="239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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увеличение объемов 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 xml:space="preserve">гарантийных обязательств Фонда с целью роста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долгосрочного финансирования субъектов МСП; </w:t>
      </w:r>
    </w:p>
    <w:p w:rsidR="006D3CC5" w:rsidRPr="00DE6060" w:rsidRDefault="006D3CC5" w:rsidP="00C90997">
      <w:pPr>
        <w:spacing w:line="239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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координация субъектов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МСП Фондом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и мониторинг результативности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работы Фонда в рамках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НГС (</w:t>
      </w:r>
      <w:r w:rsidR="00BD372E" w:rsidRPr="00DE6060">
        <w:rPr>
          <w:rFonts w:ascii="Times New Roman" w:eastAsia="Times New Roman" w:hAnsi="Times New Roman" w:cs="Times New Roman"/>
          <w:sz w:val="24"/>
          <w:szCs w:val="24"/>
        </w:rPr>
        <w:t>АО «Федеральная к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>орпорация</w:t>
      </w:r>
      <w:r w:rsidR="00BD372E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развития МСП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», АО «МСП Банк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>», иные коммерческие банки</w:t>
      </w:r>
      <w:r w:rsidR="001760D1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региональные   гарантийные   организации</w:t>
      </w:r>
      <w:r w:rsidR="001760D1" w:rsidRPr="00DE6060">
        <w:rPr>
          <w:rFonts w:ascii="Times New Roman" w:eastAsia="Times New Roman" w:hAnsi="Times New Roman" w:cs="Times New Roman"/>
          <w:sz w:val="24"/>
          <w:szCs w:val="24"/>
        </w:rPr>
        <w:t>, организации инфраструктуры поддержки предпринимательства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), повышение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  эффективности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4F2FDE" w:rsidRPr="00DE6060">
        <w:rPr>
          <w:rFonts w:ascii="Times New Roman" w:eastAsia="Times New Roman" w:hAnsi="Times New Roman" w:cs="Times New Roman"/>
          <w:sz w:val="24"/>
          <w:szCs w:val="24"/>
        </w:rPr>
        <w:t>Фонда как участника единой системы НГС</w:t>
      </w:r>
      <w:r w:rsidR="00D41BA8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C90997">
      <w:pPr>
        <w:spacing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912114" w:rsidP="00CD4CE9">
      <w:pPr>
        <w:pStyle w:val="a4"/>
        <w:numPr>
          <w:ilvl w:val="3"/>
          <w:numId w:val="65"/>
        </w:numPr>
        <w:spacing w:line="23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714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осуществи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следующий комплекс мероприятий, направленных на увеличение объемов гарантийной поддержки субъектов МСП.</w:t>
      </w:r>
    </w:p>
    <w:p w:rsidR="006D3CC5" w:rsidRPr="00DE6060" w:rsidRDefault="006D3CC5" w:rsidP="00C90997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0"/>
          <w:numId w:val="7"/>
        </w:numPr>
        <w:tabs>
          <w:tab w:val="left" w:pos="1080"/>
        </w:tabs>
        <w:spacing w:after="0" w:line="226" w:lineRule="auto"/>
        <w:ind w:left="1080" w:hanging="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0714" w:rsidRPr="00DE606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году:</w:t>
      </w:r>
    </w:p>
    <w:p w:rsidR="006D3CC5" w:rsidRPr="00DE6060" w:rsidRDefault="006D3CC5" w:rsidP="00804906">
      <w:pPr>
        <w:numPr>
          <w:ilvl w:val="0"/>
          <w:numId w:val="8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проанализирова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оцен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работы сети партнеров по</w:t>
      </w:r>
      <w:r w:rsidR="0078244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оказанию гарантийной поддержки;</w:t>
      </w:r>
    </w:p>
    <w:p w:rsidR="006D3CC5" w:rsidRPr="00DE6060" w:rsidRDefault="00C80714" w:rsidP="00CD4CE9">
      <w:pPr>
        <w:numPr>
          <w:ilvl w:val="1"/>
          <w:numId w:val="9"/>
        </w:numPr>
        <w:tabs>
          <w:tab w:val="left" w:pos="1112"/>
        </w:tabs>
        <w:spacing w:after="0" w:line="228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ом применены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практике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разработа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утвержден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единые для всех участников НГС приоритетные направления оказания гарантийной поддержки;</w:t>
      </w:r>
    </w:p>
    <w:p w:rsidR="006D3CC5" w:rsidRPr="00DE6060" w:rsidRDefault="00C80714" w:rsidP="00CD4CE9">
      <w:pPr>
        <w:numPr>
          <w:ilvl w:val="1"/>
          <w:numId w:val="9"/>
        </w:numPr>
        <w:tabs>
          <w:tab w:val="left" w:pos="1112"/>
        </w:tabs>
        <w:spacing w:after="0" w:line="231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практике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внедрен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ные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едины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каталог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гарантийных продуктов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АО «</w:t>
      </w:r>
      <w:r w:rsidR="006D7DBE" w:rsidRPr="00DE6060">
        <w:rPr>
          <w:rFonts w:ascii="Times New Roman" w:eastAsia="Times New Roman" w:hAnsi="Times New Roman" w:cs="Times New Roman"/>
          <w:sz w:val="24"/>
          <w:szCs w:val="24"/>
        </w:rPr>
        <w:t>Федеральная к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орпорация развития МСП»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, АО «МСП Банк»</w:t>
      </w:r>
      <w:r w:rsidR="006944C5" w:rsidRPr="00DE6060">
        <w:rPr>
          <w:rFonts w:ascii="Times New Roman" w:eastAsia="Times New Roman" w:hAnsi="Times New Roman" w:cs="Times New Roman"/>
          <w:sz w:val="24"/>
          <w:szCs w:val="24"/>
        </w:rPr>
        <w:t>, иных коммерческих банков-партнёров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E6A" w:rsidRPr="00DE60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субъектов предпринимательства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учетом приоритетных направлений оказания гарантийной поддержки;</w:t>
      </w:r>
    </w:p>
    <w:p w:rsidR="006D3CC5" w:rsidRPr="00DE6060" w:rsidRDefault="00C80714" w:rsidP="00CD4CE9">
      <w:pPr>
        <w:numPr>
          <w:ilvl w:val="1"/>
          <w:numId w:val="9"/>
        </w:numPr>
        <w:tabs>
          <w:tab w:val="left" w:pos="1112"/>
        </w:tabs>
        <w:spacing w:after="0" w:line="237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020" w:rsidRPr="00DE6060">
        <w:rPr>
          <w:rFonts w:ascii="Times New Roman" w:eastAsia="Times New Roman" w:hAnsi="Times New Roman" w:cs="Times New Roman"/>
          <w:sz w:val="24"/>
          <w:szCs w:val="24"/>
        </w:rPr>
        <w:t>общепринятую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модель оказания гарантийной поддержки субъектам МСП: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фокусирует усилия на целевых </w:t>
      </w:r>
      <w:r w:rsidR="009A62B2" w:rsidRPr="00DE6060">
        <w:rPr>
          <w:rFonts w:ascii="Times New Roman" w:eastAsia="Times New Roman" w:hAnsi="Times New Roman" w:cs="Times New Roman"/>
          <w:sz w:val="24"/>
          <w:szCs w:val="24"/>
        </w:rPr>
        <w:t xml:space="preserve">льготных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программах, на предоставлении гарантий для средних и крупных проектов и на предоставлении поручительств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наравне с иными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региональны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гарантийны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(далее – РГО)</w:t>
      </w:r>
      <w:r w:rsidR="006D7DBE"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Фонд ориентировался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применение «поточных» технологий и предоставление гарантий и поручительств в массовом сегменте рынка. Распределение продуктового предложения и лимитов между </w:t>
      </w:r>
      <w:r w:rsidR="00254D05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Фондом,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АО «МСП Банк» и </w:t>
      </w:r>
      <w:r w:rsidR="00254D05" w:rsidRPr="00DE6060">
        <w:rPr>
          <w:rFonts w:ascii="Times New Roman" w:eastAsia="Times New Roman" w:hAnsi="Times New Roman" w:cs="Times New Roman"/>
          <w:sz w:val="24"/>
          <w:szCs w:val="24"/>
        </w:rPr>
        <w:t>АО «</w:t>
      </w:r>
      <w:r w:rsidR="006D7DBE" w:rsidRPr="00DE6060">
        <w:rPr>
          <w:rFonts w:ascii="Times New Roman" w:eastAsia="Times New Roman" w:hAnsi="Times New Roman" w:cs="Times New Roman"/>
          <w:sz w:val="24"/>
          <w:szCs w:val="24"/>
        </w:rPr>
        <w:t>Федеральной корпорацией</w:t>
      </w:r>
      <w:r w:rsidR="00254D0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развития МСП»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осуществлено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основе дифференцированного подхода. Средний размер заявки на получение гарантийной поддержки в </w:t>
      </w:r>
      <w:r w:rsidR="00254D05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D05" w:rsidRPr="00DE6060">
        <w:rPr>
          <w:rFonts w:ascii="Times New Roman" w:eastAsia="Times New Roman" w:hAnsi="Times New Roman" w:cs="Times New Roman"/>
          <w:sz w:val="24"/>
          <w:szCs w:val="24"/>
        </w:rPr>
        <w:t>не ниже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, чем в </w:t>
      </w:r>
      <w:r w:rsidR="00254D05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РГО, которые сфокусированы на работе с «массовым» сегментом субъектов МСП;</w:t>
      </w:r>
    </w:p>
    <w:p w:rsidR="006D3CC5" w:rsidRPr="00DE6060" w:rsidRDefault="006D7DBE" w:rsidP="00112B2A">
      <w:pPr>
        <w:numPr>
          <w:ilvl w:val="1"/>
          <w:numId w:val="9"/>
        </w:numPr>
        <w:tabs>
          <w:tab w:val="left" w:pos="1112"/>
        </w:tabs>
        <w:spacing w:after="0" w:line="240" w:lineRule="auto"/>
        <w:ind w:left="142" w:firstLine="68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подходы к распределению функционала по оказанию гарантийной поддержки между всеми участниками НГС;</w:t>
      </w:r>
    </w:p>
    <w:p w:rsidR="006D3CC5" w:rsidRPr="00DE6060" w:rsidRDefault="006D7DBE" w:rsidP="00112B2A">
      <w:pPr>
        <w:numPr>
          <w:ilvl w:val="1"/>
          <w:numId w:val="9"/>
        </w:numPr>
        <w:tabs>
          <w:tab w:val="left" w:pos="1120"/>
        </w:tabs>
        <w:spacing w:after="0" w:line="240" w:lineRule="auto"/>
        <w:ind w:left="142" w:firstLine="68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требования к отбору партнеров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C5" w:rsidRPr="00DE6060">
        <w:rPr>
          <w:rFonts w:ascii="Times New Roman" w:eastAsia="Times New Roman" w:hAnsi="Times New Roman" w:cs="Times New Roman"/>
          <w:sz w:val="24"/>
          <w:szCs w:val="24"/>
        </w:rPr>
        <w:t>в целях формирования единой партнёрской сети в рамках НГС;</w:t>
      </w:r>
    </w:p>
    <w:p w:rsidR="006D3CC5" w:rsidRPr="00DE6060" w:rsidRDefault="006D7DBE" w:rsidP="00112B2A">
      <w:pPr>
        <w:numPr>
          <w:ilvl w:val="1"/>
          <w:numId w:val="9"/>
        </w:numPr>
        <w:tabs>
          <w:tab w:val="left" w:pos="1112"/>
        </w:tabs>
        <w:spacing w:after="0" w:line="240" w:lineRule="auto"/>
        <w:ind w:left="142" w:right="20" w:firstLine="68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F31A48" w:rsidRPr="00DE6060">
        <w:rPr>
          <w:rFonts w:ascii="Times New Roman" w:eastAsia="Times New Roman" w:hAnsi="Times New Roman" w:cs="Times New Roman"/>
          <w:sz w:val="24"/>
          <w:szCs w:val="24"/>
        </w:rPr>
        <w:t>актуализир</w:t>
      </w:r>
      <w:r w:rsidR="00797BDD" w:rsidRPr="00DE6060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="00F31A48" w:rsidRPr="00DE6060">
        <w:rPr>
          <w:rFonts w:ascii="Times New Roman" w:eastAsia="Times New Roman" w:hAnsi="Times New Roman" w:cs="Times New Roman"/>
          <w:sz w:val="24"/>
          <w:szCs w:val="24"/>
        </w:rPr>
        <w:t>/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реструктуризир</w:t>
      </w:r>
      <w:r w:rsidR="00797BDD" w:rsidRPr="00DE6060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партнерск</w:t>
      </w:r>
      <w:r w:rsidR="006944C5" w:rsidRPr="00DE6060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сеть с учетом новых требований</w:t>
      </w:r>
      <w:r w:rsidR="006944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потребностей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7DBE" w:rsidP="00112B2A">
      <w:pPr>
        <w:numPr>
          <w:ilvl w:val="1"/>
          <w:numId w:val="9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требования по оказанию гарантийной поддержки с целью унификации подходов всех участников НГС (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АО «Федеральная к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орпорация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развития МСП»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, АО «МСП Банк» и РГО) к процедурам организации гарантийной поддержки (каталог гарантийных продуктов, требования к отбору партнеров, требования к процедурам предоставления и сопровождения гарантий/поручительств, требования к оценке и управлению рисками, требования к процедурам работы с проблемными активами, требования к процедурам работы с партнерами);</w:t>
      </w:r>
    </w:p>
    <w:p w:rsidR="006D3CC5" w:rsidRPr="00DE6060" w:rsidRDefault="006D3CC5" w:rsidP="00112B2A">
      <w:pPr>
        <w:tabs>
          <w:tab w:val="left" w:pos="2600"/>
          <w:tab w:val="left" w:pos="4300"/>
          <w:tab w:val="left" w:pos="4920"/>
          <w:tab w:val="left" w:pos="6420"/>
          <w:tab w:val="left" w:pos="8280"/>
        </w:tabs>
        <w:spacing w:after="0" w:line="240" w:lineRule="auto"/>
        <w:ind w:left="284" w:firstLine="536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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DBE"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31A4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DE6060">
        <w:rPr>
          <w:rFonts w:ascii="Times New Roman" w:hAnsi="Times New Roman" w:cs="Times New Roman"/>
          <w:sz w:val="24"/>
          <w:szCs w:val="24"/>
        </w:rPr>
        <w:tab/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6060">
        <w:rPr>
          <w:rFonts w:ascii="Times New Roman" w:hAnsi="Times New Roman" w:cs="Times New Roman"/>
          <w:sz w:val="24"/>
          <w:szCs w:val="24"/>
        </w:rPr>
        <w:tab/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="006D7DB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гарантийной поддержки в АО </w:t>
      </w:r>
      <w:r w:rsidR="00F31A48" w:rsidRPr="00DE606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7DBE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корпорация развития МСП» или коммерческих банках-партнёрах; </w:t>
      </w:r>
      <w:r w:rsidRPr="00DE6060">
        <w:rPr>
          <w:rFonts w:ascii="Times New Roman" w:hAnsi="Times New Roman" w:cs="Times New Roman"/>
          <w:sz w:val="24"/>
          <w:szCs w:val="24"/>
        </w:rPr>
        <w:tab/>
      </w:r>
    </w:p>
    <w:p w:rsidR="006D3CC5" w:rsidRPr="00DE6060" w:rsidRDefault="006D7DBE" w:rsidP="00112B2A">
      <w:pPr>
        <w:numPr>
          <w:ilvl w:val="1"/>
          <w:numId w:val="10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многоканальн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продвижения гарантийных продуктов. Субъект МСП самостоятельно обращается в банки-партнеры за получением финансирования. Данная система продвижения нацелена на работу с субъектам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42B51" w:rsidRPr="00DE6060">
        <w:rPr>
          <w:rFonts w:ascii="Times New Roman" w:eastAsia="Times New Roman" w:hAnsi="Times New Roman" w:cs="Times New Roman"/>
          <w:sz w:val="24"/>
          <w:szCs w:val="24"/>
        </w:rPr>
        <w:t xml:space="preserve">малого и 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среднего предпринимательства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7DBE" w:rsidP="00112B2A">
      <w:pPr>
        <w:numPr>
          <w:ilvl w:val="1"/>
          <w:numId w:val="11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л,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меру возможностей партнёров,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практику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двусторонни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соглашени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системообразующими банками и запу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стил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механизм, позволяющий рассматривать заявки на получение финансирования, обеспеченные офертой </w:t>
      </w:r>
      <w:r w:rsidR="005B0B26" w:rsidRPr="00DE6060">
        <w:rPr>
          <w:rFonts w:ascii="Times New Roman" w:eastAsia="Times New Roman" w:hAnsi="Times New Roman" w:cs="Times New Roman"/>
          <w:sz w:val="24"/>
          <w:szCs w:val="24"/>
        </w:rPr>
        <w:t>АО «Федеральная к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орпораци</w:t>
      </w:r>
      <w:r w:rsidR="005B0B26" w:rsidRPr="00DE6060">
        <w:rPr>
          <w:rFonts w:ascii="Times New Roman" w:eastAsia="Times New Roman" w:hAnsi="Times New Roman" w:cs="Times New Roman"/>
          <w:sz w:val="24"/>
          <w:szCs w:val="24"/>
        </w:rPr>
        <w:t>я развития МСП»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гарантии. Заявки, первоначально рассмотренные </w:t>
      </w:r>
      <w:r w:rsidR="005B0B26" w:rsidRPr="00DE6060">
        <w:rPr>
          <w:rFonts w:ascii="Times New Roman" w:eastAsia="Times New Roman" w:hAnsi="Times New Roman" w:cs="Times New Roman"/>
          <w:sz w:val="24"/>
          <w:szCs w:val="24"/>
        </w:rPr>
        <w:t>АО «Федеральная корпорация развития МСП»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29F8" w:rsidRPr="00DE6060">
        <w:rPr>
          <w:rFonts w:ascii="Times New Roman" w:eastAsia="Times New Roman" w:hAnsi="Times New Roman" w:cs="Times New Roman"/>
          <w:sz w:val="24"/>
          <w:szCs w:val="24"/>
        </w:rPr>
        <w:t>предлагали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 рассмотрению банкам с целью андеррайтинга и предложения субъектам МСП более привлекательных условий финансирования;</w:t>
      </w:r>
    </w:p>
    <w:p w:rsidR="006D3CC5" w:rsidRPr="00DE6060" w:rsidRDefault="006D3CC5" w:rsidP="00112B2A">
      <w:pPr>
        <w:numPr>
          <w:ilvl w:val="1"/>
          <w:numId w:val="11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оптимизир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ованы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совместно с </w:t>
      </w:r>
      <w:r w:rsidR="006D7DBE" w:rsidRPr="00DE6060">
        <w:rPr>
          <w:rFonts w:ascii="Times New Roman" w:eastAsia="Times New Roman" w:hAnsi="Times New Roman" w:cs="Times New Roman"/>
          <w:sz w:val="24"/>
          <w:szCs w:val="24"/>
        </w:rPr>
        <w:t>партнёрами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условия действующих гарантийных продуктов для субъектов МСП – участников закупок отдельных заказчиков, осуществляющих закупочную деятельность в соответствии с Законом № 223-ФЗ, и технологии их предоставления</w:t>
      </w:r>
      <w:r w:rsidR="00112B2A" w:rsidRPr="00DE6060">
        <w:rPr>
          <w:rFonts w:ascii="Times New Roman" w:eastAsia="Times New Roman" w:hAnsi="Times New Roman" w:cs="Times New Roman"/>
          <w:sz w:val="24"/>
          <w:szCs w:val="24"/>
        </w:rPr>
        <w:t>. Осуществляются выдачи субъектам МСП гарантийных продуктов под поручительство 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5B0B26" w:rsidP="00112B2A">
      <w:pPr>
        <w:numPr>
          <w:ilvl w:val="1"/>
          <w:numId w:val="11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примен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 xml:space="preserve">ена, в меру достигнутых разработок партнёрской средой,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общепринят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рамках НГС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IT-концепци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последующей автоматизации бизнес-процессов, позволяющей оптимизировать процессы взаимодействия всех участников и партнеров НГС, маршрутизации поступления участникам НГС заявок на получение гарантийной поддержки от партнеров, МФЦ, РГО, центров поддержки предпринимательства, федеральных и региональных органов исполнительной власти и иных </w:t>
      </w:r>
      <w:r w:rsidR="00CF4285" w:rsidRPr="00DE60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субъектов МСП, отслеживания статусов рассмотрения заявок и т. п.</w:t>
      </w:r>
    </w:p>
    <w:p w:rsidR="006D7DBE" w:rsidRPr="00DE6060" w:rsidRDefault="006D7DBE" w:rsidP="006D3CC5">
      <w:pPr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6D3CC5">
      <w:pPr>
        <w:ind w:left="820"/>
        <w:rPr>
          <w:rFonts w:ascii="Times New Roman" w:eastAsia="Symbol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6D7DBE" w:rsidRPr="00DE606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году:</w:t>
      </w:r>
    </w:p>
    <w:p w:rsidR="006D3CC5" w:rsidRPr="00DE6060" w:rsidRDefault="006D3CC5" w:rsidP="00890BB5">
      <w:pPr>
        <w:spacing w:line="32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0B26" w:rsidRPr="00DE6060" w:rsidRDefault="001C0409" w:rsidP="005B0B26">
      <w:pPr>
        <w:tabs>
          <w:tab w:val="left" w:pos="1112"/>
        </w:tabs>
        <w:spacing w:after="0" w:line="227" w:lineRule="auto"/>
        <w:ind w:left="82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Фонд в 2018 году принял</w:t>
      </w:r>
      <w:r w:rsidR="005B0B26" w:rsidRPr="00DE6060">
        <w:rPr>
          <w:rFonts w:ascii="Times New Roman" w:eastAsia="Symbol" w:hAnsi="Times New Roman" w:cs="Times New Roman"/>
          <w:sz w:val="24"/>
          <w:szCs w:val="24"/>
        </w:rPr>
        <w:t xml:space="preserve"> все меры для достижения следующих результатов:</w:t>
      </w:r>
    </w:p>
    <w:p w:rsidR="005B0B26" w:rsidRPr="00DE6060" w:rsidRDefault="005B0B26" w:rsidP="005B0B26">
      <w:pPr>
        <w:tabs>
          <w:tab w:val="left" w:pos="1112"/>
        </w:tabs>
        <w:spacing w:after="0" w:line="227" w:lineRule="auto"/>
        <w:ind w:left="828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6D3CC5" w:rsidP="00ED72D6">
      <w:pPr>
        <w:numPr>
          <w:ilvl w:val="1"/>
          <w:numId w:val="11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реструктури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ована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партнерск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сеть РГО по итогам внедрения обновленных требований к отбору партнеров в рамках НГС;</w:t>
      </w:r>
    </w:p>
    <w:p w:rsidR="006D3CC5" w:rsidRPr="00DE6060" w:rsidRDefault="00193A9D" w:rsidP="00ED72D6">
      <w:pPr>
        <w:numPr>
          <w:ilvl w:val="1"/>
          <w:numId w:val="11"/>
        </w:numPr>
        <w:tabs>
          <w:tab w:val="left" w:pos="1120"/>
        </w:tabs>
        <w:spacing w:after="0" w:line="240" w:lineRule="auto"/>
        <w:ind w:left="260" w:firstLine="59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внедрены требования по оказанию гарантийной поддержки принятой лучшими</w:t>
      </w:r>
      <w:r w:rsidR="008322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практиками в системе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РГО;</w:t>
      </w:r>
    </w:p>
    <w:p w:rsidR="006D3CC5" w:rsidRPr="00DE6060" w:rsidRDefault="006D3CC5" w:rsidP="00ED72D6">
      <w:pPr>
        <w:numPr>
          <w:ilvl w:val="1"/>
          <w:numId w:val="11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внедр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многоканальн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система продвижения гарантийных продуктов с банками-партнерами;</w:t>
      </w:r>
    </w:p>
    <w:p w:rsidR="006D3CC5" w:rsidRPr="00DE6060" w:rsidRDefault="006D3CC5" w:rsidP="00ED72D6">
      <w:pPr>
        <w:numPr>
          <w:ilvl w:val="1"/>
          <w:numId w:val="11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продолж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ена,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совместно с уполномоченными банками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реализация </w:t>
      </w:r>
      <w:r w:rsidR="000A40ED" w:rsidRPr="00DE6060">
        <w:rPr>
          <w:rFonts w:ascii="Times New Roman" w:eastAsia="Times New Roman" w:hAnsi="Times New Roman" w:cs="Times New Roman"/>
          <w:sz w:val="24"/>
          <w:szCs w:val="24"/>
        </w:rPr>
        <w:t>льготных программ (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«Программы 6,5%»</w:t>
      </w:r>
      <w:r w:rsidR="000A40ED" w:rsidRPr="00DE6060">
        <w:rPr>
          <w:rFonts w:ascii="Times New Roman" w:eastAsia="Times New Roman" w:hAnsi="Times New Roman" w:cs="Times New Roman"/>
          <w:sz w:val="24"/>
          <w:szCs w:val="24"/>
        </w:rPr>
        <w:t>, «Программа 8,5%»)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ED72D6">
      <w:pPr>
        <w:tabs>
          <w:tab w:val="left" w:pos="3400"/>
          <w:tab w:val="left" w:pos="4600"/>
          <w:tab w:val="left" w:pos="6500"/>
          <w:tab w:val="left" w:pos="828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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актуализир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ованы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плану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гарантийных</w:t>
      </w:r>
      <w:r w:rsidR="008322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продуктов, в том числе при разработ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322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новы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8322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продукт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322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учетом изменений макроэкономической ситуации и приоритетов государственной политики.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3CC5" w:rsidRPr="00DE6060" w:rsidRDefault="006D3CC5" w:rsidP="00ED7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ED72D6">
      <w:pPr>
        <w:numPr>
          <w:ilvl w:val="1"/>
          <w:numId w:val="12"/>
        </w:numPr>
        <w:tabs>
          <w:tab w:val="left" w:pos="1080"/>
        </w:tabs>
        <w:spacing w:after="0" w:line="240" w:lineRule="auto"/>
        <w:ind w:left="1080" w:hanging="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5B0B26" w:rsidRPr="00DE606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году:</w:t>
      </w:r>
    </w:p>
    <w:p w:rsidR="006D3CC5" w:rsidRPr="00DE6060" w:rsidRDefault="006D3CC5" w:rsidP="00EA55B4">
      <w:pPr>
        <w:tabs>
          <w:tab w:val="left" w:pos="2560"/>
          <w:tab w:val="left" w:pos="3680"/>
          <w:tab w:val="left" w:pos="5760"/>
          <w:tab w:val="left" w:pos="7460"/>
          <w:tab w:val="left" w:pos="8960"/>
        </w:tabs>
        <w:spacing w:after="0" w:line="23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Symbol" w:hAnsi="Times New Roman" w:cs="Times New Roman"/>
          <w:sz w:val="24"/>
          <w:szCs w:val="24"/>
        </w:rPr>
        <w:t>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увелич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объемы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гарантийной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поддержки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через</w:t>
      </w:r>
    </w:p>
    <w:p w:rsidR="006D3CC5" w:rsidRPr="00DE6060" w:rsidRDefault="005E5CB6" w:rsidP="00EA55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многоканальную систему продвижения гарантийных продуктов</w:t>
      </w:r>
      <w:r w:rsidR="001C0409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5B4" w:rsidRPr="00DE6060" w:rsidRDefault="00EA55B4" w:rsidP="00EA5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6" w:lineRule="auto"/>
        <w:ind w:right="1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6264C4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264C4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Организация иных форм финансовой поддержки субъектов </w:t>
      </w:r>
      <w:r w:rsidR="007D2A10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предпринимательства (в т.ч. МСП)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, включая развитие лизинговых и факторинговых операций, разработку механизмов рефинансирования долговых обязательств субъектов МСП</w:t>
      </w:r>
    </w:p>
    <w:p w:rsidR="001930B3" w:rsidRPr="00DE6060" w:rsidRDefault="006D3CC5" w:rsidP="002E0631">
      <w:pPr>
        <w:spacing w:line="238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Развитие дополнительных форм финансовой поддержки субъектов </w:t>
      </w:r>
      <w:r w:rsidR="007D2A10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(в т.ч. субъектов </w:t>
      </w:r>
      <w:r w:rsidR="00225D85" w:rsidRPr="00DE6060">
        <w:rPr>
          <w:rFonts w:ascii="Times New Roman" w:eastAsia="Times New Roman" w:hAnsi="Times New Roman" w:cs="Times New Roman"/>
          <w:sz w:val="24"/>
          <w:szCs w:val="24"/>
        </w:rPr>
        <w:t xml:space="preserve">крупного, крупнейшего бизнеса 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МСП</w:t>
      </w:r>
      <w:r w:rsidR="007D2A10" w:rsidRPr="00DE606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реализова</w:t>
      </w:r>
      <w:r w:rsidR="00EA55B4" w:rsidRPr="00DE606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0B3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Фондом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за счет </w:t>
      </w:r>
      <w:r w:rsidR="00E41CAC" w:rsidRPr="00DE6060">
        <w:rPr>
          <w:rFonts w:ascii="Times New Roman" w:eastAsia="Times New Roman" w:hAnsi="Times New Roman" w:cs="Times New Roman"/>
          <w:sz w:val="24"/>
          <w:szCs w:val="24"/>
        </w:rPr>
        <w:t>введени</w:t>
      </w:r>
      <w:r w:rsidR="00D126E6" w:rsidRPr="00DE60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41CA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действие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новых гарантийных продуктов</w:t>
      </w:r>
      <w:r w:rsidR="00555EAE"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0B3" w:rsidRPr="00DE6060" w:rsidRDefault="00555EAE" w:rsidP="002E0631">
      <w:pPr>
        <w:spacing w:line="238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т.ч. </w:t>
      </w:r>
      <w:r w:rsidR="00D126E6" w:rsidRPr="00DE6060"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установленным Программой планом выполнено</w:t>
      </w:r>
      <w:r w:rsidR="001930B3"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30B3" w:rsidRPr="00DE6060" w:rsidRDefault="001930B3" w:rsidP="002E0631">
      <w:pPr>
        <w:spacing w:line="238" w:lineRule="auto"/>
        <w:ind w:right="1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- выработка механизмов упрощения доступности высокотехнологичных, современных технологий с применением средств доступа к международны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инвестиционны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площад</w:t>
      </w:r>
      <w:r w:rsidR="003D753A" w:rsidRPr="00DE6060">
        <w:rPr>
          <w:rFonts w:ascii="Times New Roman" w:eastAsia="Times New Roman" w:hAnsi="Times New Roman" w:cs="Times New Roman"/>
          <w:sz w:val="24"/>
          <w:szCs w:val="24"/>
        </w:rPr>
        <w:t>кам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крупнейшего, крупного бизнеса на террито</w:t>
      </w:r>
      <w:r w:rsidR="006264C4" w:rsidRPr="00DE60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ии Чукотского АО</w:t>
      </w:r>
      <w:r w:rsidR="00D126E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размещения 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126E6" w:rsidRPr="00DE6060">
        <w:rPr>
          <w:rFonts w:ascii="Times New Roman" w:eastAsia="Times New Roman" w:hAnsi="Times New Roman" w:cs="Times New Roman"/>
          <w:sz w:val="24"/>
          <w:szCs w:val="24"/>
        </w:rPr>
        <w:t>а постоянной основе ссылок на ресурсы, систематического размещения в СМИ информационных писем о работе платформ и возможностях привлечения прямого финансирования, субсидий, грантов, возмещения затрат, организации участия в бизнес-миссиях, выставках-ярмарках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1930B3" w:rsidP="002E0631">
      <w:pPr>
        <w:spacing w:line="238" w:lineRule="auto"/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126E6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осуществлялось </w:t>
      </w:r>
      <w:r w:rsidR="002A2ABD" w:rsidRPr="00DE606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="00F61FA9" w:rsidRPr="00DE6060">
        <w:rPr>
          <w:rFonts w:ascii="Times New Roman" w:eastAsia="Times New Roman" w:hAnsi="Times New Roman" w:cs="Times New Roman"/>
          <w:sz w:val="24"/>
          <w:szCs w:val="24"/>
        </w:rPr>
        <w:t>вводимых в действие АО «Федеральная корпорация развития МСП»</w:t>
      </w:r>
      <w:r w:rsidR="002A2ABD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продуктов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, обеспечивающих доступность лизинговых и факторинговых операций для коне</w:t>
      </w:r>
      <w:r w:rsidR="003B03EF" w:rsidRPr="00DE6060">
        <w:rPr>
          <w:rFonts w:ascii="Times New Roman" w:eastAsia="Times New Roman" w:hAnsi="Times New Roman" w:cs="Times New Roman"/>
          <w:sz w:val="24"/>
          <w:szCs w:val="24"/>
        </w:rPr>
        <w:t>чного получателя – субъекта МСП. Осуществлено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="003B03EF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субъектов МСП</w:t>
      </w:r>
      <w:r w:rsidR="003B03EF" w:rsidRPr="00DE6060">
        <w:rPr>
          <w:rFonts w:ascii="Times New Roman" w:eastAsia="Times New Roman" w:hAnsi="Times New Roman" w:cs="Times New Roman"/>
          <w:sz w:val="24"/>
          <w:szCs w:val="24"/>
        </w:rPr>
        <w:t xml:space="preserve">. Создан на базе Фонда Центр поддержки предпринимательства, региональная гарантийная организация. Созданный по распоряжению Правительства Чукотского автономного округа Промышленный парк «Анадырь» наполняется резидентами при содействии Фонда. Создана в 4 кв. 2019г по распоряжению Правительства Чукотского АО региональная Микрокредитная компания для целей упрощения доступности финансирования субъектов МСП региона. Приступает к работе на базе Фонда развития Чукотки Центр поддержки экспорта, Центр народно-художественных промыслов, сельского и экологического туризма, </w:t>
      </w:r>
      <w:r w:rsidR="007D7A49" w:rsidRPr="00DE6060">
        <w:rPr>
          <w:rFonts w:ascii="Times New Roman" w:eastAsia="Times New Roman" w:hAnsi="Times New Roman" w:cs="Times New Roman"/>
          <w:sz w:val="24"/>
          <w:szCs w:val="24"/>
        </w:rPr>
        <w:t>Центр компетенций в сфере сельскохозяйственной кооперации и поддержки фермеров</w:t>
      </w:r>
      <w:r w:rsidR="003B03EF" w:rsidRPr="00DE6060">
        <w:rPr>
          <w:rFonts w:ascii="Times New Roman" w:eastAsia="Times New Roman" w:hAnsi="Times New Roman" w:cs="Times New Roman"/>
          <w:sz w:val="24"/>
          <w:szCs w:val="24"/>
        </w:rPr>
        <w:t xml:space="preserve">. Осуществляется на праве партнёрских отношений взаимодействие по вовлечению субъектов МСП региона в продукты государственных и коммерческих лизинговых компаний,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специализирующихся на предоставлении финансовых услуг субъектам МСП.</w:t>
      </w:r>
    </w:p>
    <w:p w:rsidR="006D3CC5" w:rsidRPr="00DE6060" w:rsidRDefault="006D3CC5" w:rsidP="002E0631">
      <w:pPr>
        <w:spacing w:line="1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971354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Организация финансирования кредитных организаций, иных юридических лиц, оказывающих финансовую поддержку субъектам </w:t>
      </w:r>
      <w:r w:rsidR="00971354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предпринимательства, в т.ч. субъектам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МСП</w:t>
      </w:r>
    </w:p>
    <w:p w:rsidR="006D3CC5" w:rsidRPr="00DE6060" w:rsidRDefault="00971354" w:rsidP="00CB3675">
      <w:pPr>
        <w:tabs>
          <w:tab w:val="left" w:pos="709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Ввиду необходимости соблюдения актуальности применяемых мер и механизмов поддержки субъектов предпринимательства и постоянного развития субъектов НГС в данном направлении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390" w:rsidRPr="00DE6060">
        <w:rPr>
          <w:rFonts w:ascii="Times New Roman" w:eastAsia="Times New Roman" w:hAnsi="Times New Roman" w:cs="Times New Roman"/>
          <w:sz w:val="24"/>
          <w:szCs w:val="24"/>
        </w:rPr>
        <w:t xml:space="preserve">на регулярной основе </w:t>
      </w:r>
      <w:r w:rsidR="001309C6" w:rsidRPr="00DE6060">
        <w:rPr>
          <w:rFonts w:ascii="Times New Roman" w:eastAsia="Times New Roman" w:hAnsi="Times New Roman" w:cs="Times New Roman"/>
          <w:sz w:val="24"/>
          <w:szCs w:val="24"/>
        </w:rPr>
        <w:t>разраб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атыва</w:t>
      </w:r>
      <w:r w:rsidR="001A2390" w:rsidRPr="00DE6060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="001309C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переч</w:t>
      </w:r>
      <w:r w:rsidR="001A2390" w:rsidRPr="00DE6060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1309C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партнёрам (коммерческим банкам, иным финансовым организациям):</w:t>
      </w:r>
    </w:p>
    <w:p w:rsidR="006D3CC5" w:rsidRPr="00DE6060" w:rsidRDefault="006D3CC5" w:rsidP="002E0631">
      <w:pPr>
        <w:spacing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FB15A6" w:rsidP="00CD4CE9">
      <w:pPr>
        <w:numPr>
          <w:ilvl w:val="0"/>
          <w:numId w:val="13"/>
        </w:numPr>
        <w:tabs>
          <w:tab w:val="left" w:pos="1080"/>
        </w:tabs>
        <w:spacing w:after="0" w:line="217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6D3CC5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году:</w:t>
      </w:r>
    </w:p>
    <w:p w:rsidR="006D3CC5" w:rsidRPr="00DE6060" w:rsidRDefault="006D3CC5" w:rsidP="002E0631">
      <w:pPr>
        <w:spacing w:line="3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10" w:lineRule="exact"/>
        <w:ind w:firstLine="709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E24100" w:rsidP="00CD4CE9">
      <w:pPr>
        <w:numPr>
          <w:ilvl w:val="0"/>
          <w:numId w:val="14"/>
        </w:numPr>
        <w:tabs>
          <w:tab w:val="left" w:pos="1112"/>
        </w:tabs>
        <w:spacing w:after="0" w:line="23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309C6" w:rsidRPr="00DE6060">
        <w:rPr>
          <w:rFonts w:ascii="Times New Roman" w:eastAsia="Times New Roman" w:hAnsi="Times New Roman" w:cs="Times New Roman"/>
          <w:sz w:val="24"/>
          <w:szCs w:val="24"/>
        </w:rPr>
        <w:t xml:space="preserve"> целью актуализации</w:t>
      </w:r>
      <w:r w:rsidR="00EC223A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линейк</w:t>
      </w:r>
      <w:r w:rsidR="001309C6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кредитных продуктов для кредитных организаций и иных субъектов финансовой поддержки субъектов МСП с учетом приоритетных направлени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й оказания финансовой поддержки в пределах Чукотского АО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spacing w:line="13" w:lineRule="exact"/>
        <w:ind w:firstLine="709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E24100" w:rsidP="00CD4CE9">
      <w:pPr>
        <w:numPr>
          <w:ilvl w:val="0"/>
          <w:numId w:val="14"/>
        </w:numPr>
        <w:tabs>
          <w:tab w:val="left" w:pos="1112"/>
        </w:tabs>
        <w:spacing w:after="0" w:line="22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с целью актуализации продуктовой линейки существующей поддержки предпринимательства созданы предложения по условиям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кредитно-гарантийн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продукт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финансирования субъектов МСП 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 xml:space="preserve">Чукотского автономного округа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– участников закупок отдельных заказчиков, осуществляющих закупочную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деятельность в соответствии с Законом №223-ФЗ, с целью увеличения объемов кредитования субъектов МСП из приоритетных направлений оказания гарантийной поддержки;</w:t>
      </w:r>
    </w:p>
    <w:p w:rsidR="006D3CC5" w:rsidRPr="00DE6060" w:rsidRDefault="006D3CC5" w:rsidP="002E0631">
      <w:pPr>
        <w:spacing w:line="37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582312" w:rsidP="00CD4CE9">
      <w:pPr>
        <w:numPr>
          <w:ilvl w:val="1"/>
          <w:numId w:val="15"/>
        </w:numPr>
        <w:tabs>
          <w:tab w:val="left" w:pos="1112"/>
        </w:tabs>
        <w:spacing w:after="0" w:line="231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ации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Фондом собственной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мониторинга за выполнением 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>коммерческими банками-партнёрами</w:t>
      </w:r>
      <w:r w:rsidR="00EC223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на 201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показателей</w:t>
      </w:r>
      <w:r w:rsidR="00EC223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ключевого показателя по объему ссудной задолженности партнеров по «Программе 6,5%»</w:t>
      </w:r>
      <w:r w:rsidR="00EC223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размере</w:t>
      </w:r>
      <w:r w:rsidR="00EC223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>равном пропорциональной доле в портфеле гарантийных обязательств 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5" w:lineRule="exact"/>
        <w:ind w:firstLine="709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6" w:lineRule="auto"/>
        <w:ind w:firstLine="709"/>
        <w:rPr>
          <w:rFonts w:ascii="Times New Roman" w:eastAsia="Symbol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FB15A6" w:rsidRPr="00DE606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году:</w:t>
      </w:r>
    </w:p>
    <w:p w:rsidR="006D3CC5" w:rsidRPr="00DE6060" w:rsidRDefault="006D3CC5" w:rsidP="00CD4CE9">
      <w:pPr>
        <w:numPr>
          <w:ilvl w:val="1"/>
          <w:numId w:val="15"/>
        </w:numPr>
        <w:tabs>
          <w:tab w:val="left" w:pos="1112"/>
        </w:tabs>
        <w:spacing w:after="0" w:line="229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разработан 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Фондом перечень предложений,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 участии </w:t>
      </w:r>
      <w:r w:rsidR="00FB15A6" w:rsidRPr="00DE6060">
        <w:rPr>
          <w:rFonts w:ascii="Times New Roman" w:eastAsia="Times New Roman" w:hAnsi="Times New Roman" w:cs="Times New Roman"/>
          <w:sz w:val="24"/>
          <w:szCs w:val="24"/>
        </w:rPr>
        <w:t>банков-партнёров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финансовый продукт для субъектов МСП, включающий кредитную, гарантийную и страховую поддержку субъектов МСП</w:t>
      </w:r>
      <w:r w:rsidR="00AC419D" w:rsidRPr="00DE6060">
        <w:rPr>
          <w:rFonts w:ascii="Times New Roman" w:eastAsia="Times New Roman" w:hAnsi="Times New Roman" w:cs="Times New Roman"/>
          <w:sz w:val="24"/>
          <w:szCs w:val="24"/>
        </w:rPr>
        <w:t>. Не реализован комплексный механизм, запланированный в Программе «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пакетное продуктовое предложение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 Чукотского АО</w:t>
      </w:r>
      <w:r w:rsidR="00AC419D" w:rsidRPr="00DE606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F4B3E" w:rsidRPr="00DE6060">
        <w:rPr>
          <w:rFonts w:ascii="Times New Roman" w:eastAsia="Times New Roman" w:hAnsi="Times New Roman" w:cs="Times New Roman"/>
          <w:sz w:val="24"/>
          <w:szCs w:val="24"/>
        </w:rPr>
        <w:t>. В отдельности выработанные предложения приняты банками партнёрами и планомерно реализуются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spacing w:line="9" w:lineRule="exact"/>
        <w:ind w:firstLine="709"/>
        <w:rPr>
          <w:rFonts w:ascii="Times New Roman" w:eastAsia="Symbol" w:hAnsi="Times New Roman" w:cs="Times New Roman"/>
          <w:sz w:val="24"/>
          <w:szCs w:val="24"/>
        </w:rPr>
      </w:pPr>
    </w:p>
    <w:p w:rsidR="006D3CC5" w:rsidRPr="00DE6060" w:rsidRDefault="006D3CC5" w:rsidP="00CD4CE9">
      <w:pPr>
        <w:pStyle w:val="a4"/>
        <w:numPr>
          <w:ilvl w:val="0"/>
          <w:numId w:val="55"/>
        </w:numPr>
        <w:tabs>
          <w:tab w:val="left" w:pos="709"/>
        </w:tabs>
        <w:spacing w:after="0" w:line="23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аккредитации банков-партнеров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 xml:space="preserve">, не имеющих представительств и отделений на территории Чукотского автономного округа, но имеющих возможность предоставлять кредитные ресурсы субъектам МСП на территории Чукотского АО. В т.ч. предусмотрены возможности применения банками-партнёрами 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 xml:space="preserve">и лизинговыми компаниями 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>для целей обслуживания субъектов предпринимательства в пределах Чукотского АО онлайн-технологии</w:t>
      </w:r>
      <w:r w:rsidR="00761FA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положительно зарекомендовавшие себя, в т.ч. с учетом 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761FA2" w:rsidRPr="00DE606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02DA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оценки рисков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tabs>
          <w:tab w:val="left" w:pos="709"/>
        </w:tabs>
        <w:spacing w:line="8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6" w:lineRule="auto"/>
        <w:ind w:firstLine="709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484A6E" w:rsidRPr="00DE606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CC5" w:rsidRPr="00DE6060" w:rsidRDefault="00E24100" w:rsidP="00CD4CE9">
      <w:pPr>
        <w:numPr>
          <w:ilvl w:val="1"/>
          <w:numId w:val="15"/>
        </w:numPr>
        <w:tabs>
          <w:tab w:val="left" w:pos="1112"/>
        </w:tabs>
        <w:spacing w:after="0" w:line="23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актуализирована</w:t>
      </w:r>
      <w:r w:rsidR="000009D4" w:rsidRPr="00DE6060">
        <w:rPr>
          <w:rFonts w:ascii="Times New Roman" w:eastAsia="Times New Roman" w:hAnsi="Times New Roman" w:cs="Times New Roman"/>
          <w:sz w:val="24"/>
          <w:szCs w:val="24"/>
        </w:rPr>
        <w:t>, в рамках утверждённой Программы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система аккредитации банков-партнеров</w:t>
      </w:r>
      <w:r w:rsidR="000009D4" w:rsidRPr="00DE6060">
        <w:rPr>
          <w:rFonts w:ascii="Times New Roman" w:eastAsia="Times New Roman" w:hAnsi="Times New Roman" w:cs="Times New Roman"/>
          <w:sz w:val="24"/>
          <w:szCs w:val="24"/>
        </w:rPr>
        <w:t>, позволяющая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эффективно сочетать возможности федеральных и региональных банков в обслуживании су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бъектов МСП на единых принципах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09D4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Кроме того, сверх запланированных мероприятий, разраб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отана система оценки лизинговых </w:t>
      </w:r>
      <w:r w:rsidR="000009D4" w:rsidRPr="00DE6060">
        <w:rPr>
          <w:rFonts w:ascii="Times New Roman" w:eastAsia="Times New Roman" w:hAnsi="Times New Roman" w:cs="Times New Roman"/>
          <w:sz w:val="24"/>
          <w:szCs w:val="24"/>
        </w:rPr>
        <w:t xml:space="preserve">компаний-партнёров Фонда. Осуществляется взаимодействие с лизинговыми компаниями с долей государственного участия, а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009D4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коммерческими структурами.</w:t>
      </w:r>
    </w:p>
    <w:p w:rsidR="006D3CC5" w:rsidRPr="00DE6060" w:rsidRDefault="006D3CC5" w:rsidP="002E0631">
      <w:pPr>
        <w:spacing w:line="334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224925" w:rsidP="002E0631">
      <w:pPr>
        <w:spacing w:line="23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3.2</w:t>
      </w:r>
      <w:r w:rsidR="006D3CC5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.4. Привлечение денежных средств российских, иностранных и международных организац</w:t>
      </w:r>
      <w:r w:rsidR="00D765B9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ий в целях поддержки субъектов предпринимательства</w:t>
      </w:r>
    </w:p>
    <w:p w:rsidR="006D3CC5" w:rsidRPr="00DE6060" w:rsidRDefault="006D3CC5" w:rsidP="00CD4CE9">
      <w:pPr>
        <w:numPr>
          <w:ilvl w:val="2"/>
          <w:numId w:val="16"/>
        </w:numPr>
        <w:tabs>
          <w:tab w:val="left" w:pos="1299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целях ресурсного обеспечения деятельности 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23A" w:rsidRPr="00DE606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2017-201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годах реализ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следующие мероприятия:</w:t>
      </w:r>
    </w:p>
    <w:p w:rsidR="006D3CC5" w:rsidRPr="00DE6060" w:rsidRDefault="006D3CC5" w:rsidP="002E0631">
      <w:pPr>
        <w:spacing w:line="8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16"/>
        </w:numPr>
        <w:tabs>
          <w:tab w:val="left" w:pos="1112"/>
        </w:tabs>
        <w:spacing w:after="0" w:line="231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проведе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анализ рынка межбанковского 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российского и международного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кредитования и поиск долгосрочных источников фондирования с целью диверсификации ресурсной базы</w:t>
      </w:r>
      <w:r w:rsidR="00E3015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применимой для субъектов предпринимательства региона 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E3015E" w:rsidRPr="00DE6060">
        <w:rPr>
          <w:rFonts w:ascii="Times New Roman" w:eastAsia="Times New Roman" w:hAnsi="Times New Roman" w:cs="Times New Roman"/>
          <w:sz w:val="24"/>
          <w:szCs w:val="24"/>
        </w:rPr>
        <w:t xml:space="preserve">, для целей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снижения стоимости привлеченных средств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каз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ывалась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проведении переговоров с потенциальными кредиторами (консультации, участие в переговорах, юридическое сопровождение сделок и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 xml:space="preserve"> т.п.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spacing w:line="8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344C3">
      <w:pPr>
        <w:numPr>
          <w:ilvl w:val="1"/>
          <w:numId w:val="16"/>
        </w:numPr>
        <w:tabs>
          <w:tab w:val="left" w:pos="1112"/>
        </w:tabs>
        <w:spacing w:after="0" w:line="23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осуществ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лено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активное взаимодействие 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 xml:space="preserve">с российскими и международными интерактивными площадками по поиску инвестиций,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агентствами 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 финансированию и поддержке экспорта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 целью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диверсификации возможностей расширения продуктовой линейки Фонда</w:t>
      </w:r>
      <w:r w:rsidR="002543E0" w:rsidRPr="00DE6060">
        <w:rPr>
          <w:rFonts w:ascii="Times New Roman" w:eastAsia="Times New Roman" w:hAnsi="Times New Roman" w:cs="Times New Roman"/>
          <w:sz w:val="24"/>
          <w:szCs w:val="24"/>
        </w:rPr>
        <w:t>, в т.ч. позиционирование инвестиционных проектов субъектов предпринимательства на территории Чукотского АО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Запланированное в Программе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получение 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кредитного рейтинга 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не осуществлялось, т.к. представилось не целесообразным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получ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ть доступ к</w:t>
      </w:r>
      <w:r w:rsidR="0062759B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дополнительным долгосрочным и дешевым источникам финансирования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 xml:space="preserve">. Ресурсная база пополнена за счет привлечения целевых средств федерального бюджета. Запланировано присвоение </w:t>
      </w:r>
      <w:r w:rsidR="002344C3"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Центральным Банком России 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 xml:space="preserve">1 категории качества </w:t>
      </w:r>
      <w:r w:rsidR="002344C3" w:rsidRPr="00DE6060">
        <w:rPr>
          <w:rFonts w:ascii="Times New Roman" w:eastAsia="Times New Roman" w:hAnsi="Times New Roman" w:cs="Times New Roman"/>
          <w:sz w:val="24"/>
          <w:szCs w:val="24"/>
        </w:rPr>
        <w:t xml:space="preserve">обеспечения </w:t>
      </w:r>
      <w:r w:rsidR="00B55C1A" w:rsidRPr="00DE6060">
        <w:rPr>
          <w:rFonts w:ascii="Times New Roman" w:eastAsia="Times New Roman" w:hAnsi="Times New Roman" w:cs="Times New Roman"/>
          <w:sz w:val="24"/>
          <w:szCs w:val="24"/>
        </w:rPr>
        <w:t>поручительствам Фонда</w:t>
      </w:r>
      <w:r w:rsidR="002344C3" w:rsidRPr="00DE6060">
        <w:rPr>
          <w:rFonts w:ascii="Times New Roman" w:eastAsia="Times New Roman" w:hAnsi="Times New Roman" w:cs="Times New Roman"/>
          <w:sz w:val="24"/>
          <w:szCs w:val="24"/>
        </w:rPr>
        <w:t>, что позволит повысить привлекательность продукта при оформлении кредитных сделок субъектами МСП в коммерческих банках-партнерах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spacing w:line="34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C40778" w:rsidP="00C40778">
      <w:pPr>
        <w:numPr>
          <w:ilvl w:val="0"/>
          <w:numId w:val="17"/>
        </w:numPr>
        <w:tabs>
          <w:tab w:val="left" w:pos="1112"/>
        </w:tabs>
        <w:spacing w:after="0" w:line="229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не осуществлено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активное взаимодействие с ключевыми международными кредитными организациями, специализирующимися на развитии МСП (ЕБРР, KfW и т. п.), с целью привлечения средств для </w:t>
      </w:r>
      <w:r w:rsidR="00E3015E"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целей финансирования субъектов предпринимательства </w:t>
      </w:r>
      <w:r w:rsidR="00D765B9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E3015E" w:rsidRPr="00DE606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ввиду смещения вектора деятельности Фонда в более эффективное русло - на реализацию национального проекта «Малое и среднее предпринимательство и поддержка индивидуальной предпринимательской инициативы»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241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14A14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 Имущественная поддержка субъектов МСП</w:t>
      </w:r>
    </w:p>
    <w:p w:rsidR="006D3CC5" w:rsidRPr="00DE6060" w:rsidRDefault="00C53849" w:rsidP="00C53849">
      <w:pPr>
        <w:tabs>
          <w:tab w:val="left" w:pos="1464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доступности имущественной поддержки субъектам МСП 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осуществи</w:t>
      </w:r>
      <w:r w:rsidR="005A719E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37C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размещение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информации </w:t>
      </w:r>
      <w:r w:rsidR="0046437C" w:rsidRPr="00DE6060">
        <w:rPr>
          <w:rFonts w:ascii="Times New Roman" w:eastAsia="Times New Roman" w:hAnsi="Times New Roman" w:cs="Times New Roman"/>
          <w:sz w:val="24"/>
          <w:szCs w:val="24"/>
        </w:rPr>
        <w:t>на офи</w:t>
      </w:r>
      <w:r w:rsidR="0093019A" w:rsidRPr="00DE6060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6437C" w:rsidRPr="00DE6060">
        <w:rPr>
          <w:rFonts w:ascii="Times New Roman" w:eastAsia="Times New Roman" w:hAnsi="Times New Roman" w:cs="Times New Roman"/>
          <w:sz w:val="24"/>
          <w:szCs w:val="24"/>
        </w:rPr>
        <w:t>иальный ресурс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содержаще</w:t>
      </w:r>
      <w:r w:rsidR="0093019A" w:rsidRPr="00DE60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сведен</w:t>
      </w:r>
      <w:r w:rsidR="0093019A" w:rsidRPr="00DE6060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 государственном и муниципальном имуществе, включенном</w:t>
      </w:r>
      <w:r w:rsidR="0093019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перечни имущества для субъектов МСП с постоянной актуализацией в 2017-2019гг.</w:t>
      </w:r>
      <w:r w:rsidR="0046437C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CC5" w:rsidRPr="00DE6060" w:rsidRDefault="006D3CC5" w:rsidP="002E0631">
      <w:pPr>
        <w:spacing w:line="4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13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5A719E" w:rsidP="002E0631">
      <w:pPr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Информационная база</w:t>
      </w:r>
      <w:r w:rsidR="00B70C34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 xml:space="preserve">мещена на официальном сайте Фонда 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использована для подбора по заданным субъектами МСП параметрам информации о недвижимом имуществе, включенном в перечни имущества для субъектов МСП и свободном</w:t>
      </w:r>
      <w:r w:rsidR="00B70C34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от прав третьих лиц.</w:t>
      </w:r>
    </w:p>
    <w:p w:rsidR="006D3CC5" w:rsidRPr="00DE6060" w:rsidRDefault="006D3CC5" w:rsidP="002E0631">
      <w:pPr>
        <w:spacing w:line="15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19"/>
        </w:numPr>
        <w:tabs>
          <w:tab w:val="left" w:pos="1412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обеспеч</w:t>
      </w:r>
      <w:r w:rsidR="005A719E" w:rsidRPr="00DE6060">
        <w:rPr>
          <w:rFonts w:ascii="Times New Roman" w:eastAsia="Times New Roman" w:hAnsi="Times New Roman" w:cs="Times New Roman"/>
          <w:sz w:val="24"/>
          <w:szCs w:val="24"/>
        </w:rPr>
        <w:t>ена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 xml:space="preserve">доступность на собственном сайте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системы поиска необходимого субъектам МСП имущества в городах, сведения о которых внес</w:t>
      </w:r>
      <w:r w:rsidR="005A719E" w:rsidRPr="00DE6060">
        <w:rPr>
          <w:rFonts w:ascii="Times New Roman" w:eastAsia="Times New Roman" w:hAnsi="Times New Roman" w:cs="Times New Roman"/>
          <w:sz w:val="24"/>
          <w:szCs w:val="24"/>
        </w:rPr>
        <w:t xml:space="preserve">ены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 Маркетинговый навигатор МСП</w:t>
      </w:r>
      <w:r w:rsidR="00C9561F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созданный АО «Корпорация развития МСП»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1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19"/>
        </w:numPr>
        <w:tabs>
          <w:tab w:val="left" w:pos="1484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2017 году 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C53849" w:rsidRPr="00DE606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 органами государственной власти субъект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предпри</w:t>
      </w:r>
      <w:r w:rsidR="005A719E" w:rsidRPr="00DE6060">
        <w:rPr>
          <w:rFonts w:ascii="Times New Roman" w:eastAsia="Times New Roman" w:hAnsi="Times New Roman" w:cs="Times New Roman"/>
          <w:sz w:val="24"/>
          <w:szCs w:val="24"/>
        </w:rPr>
        <w:t>няты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усилия по 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 xml:space="preserve">упрощению доступности 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внедрению указанной системы поиска во всех 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муниципальных образованиях Чукотского АО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17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1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15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A64F9" w:rsidRPr="00DE6060" w:rsidRDefault="0027485F" w:rsidP="002E0631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Выполнено </w:t>
      </w:r>
      <w:r w:rsidR="00774262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ом,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 органами государственной власти субъект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 рамках Программы, оказание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методическ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создании </w:t>
      </w:r>
      <w:r w:rsidR="00A022A7" w:rsidRPr="00DE6060">
        <w:rPr>
          <w:rFonts w:ascii="Times New Roman" w:eastAsia="Times New Roman" w:hAnsi="Times New Roman" w:cs="Times New Roman"/>
          <w:sz w:val="24"/>
          <w:szCs w:val="24"/>
        </w:rPr>
        <w:t>ООО «УК «Промышленный парк «</w:t>
      </w:r>
      <w:proofErr w:type="spellStart"/>
      <w:r w:rsidR="00A022A7" w:rsidRPr="00DE6060">
        <w:rPr>
          <w:rFonts w:ascii="Times New Roman" w:eastAsia="Times New Roman" w:hAnsi="Times New Roman" w:cs="Times New Roman"/>
          <w:sz w:val="24"/>
          <w:szCs w:val="24"/>
        </w:rPr>
        <w:t>АрктикПромПарк</w:t>
      </w:r>
      <w:proofErr w:type="spellEnd"/>
      <w:r w:rsidR="00A022A7" w:rsidRPr="00DE606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для целей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оказания имущественной поддержки субъектам МСП, в том чис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>ле в части поиска, формирования:</w:t>
      </w:r>
    </w:p>
    <w:p w:rsidR="006D3CC5" w:rsidRPr="00DE6060" w:rsidRDefault="0027485F" w:rsidP="00CD4CE9">
      <w:pPr>
        <w:pStyle w:val="a4"/>
        <w:numPr>
          <w:ilvl w:val="0"/>
          <w:numId w:val="61"/>
        </w:num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механизмов приведения в соответствие разрешенных видов использования 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оформления земельных участков</w:t>
      </w:r>
      <w:r w:rsidR="0093019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целях 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>их предоставления субъектам МСП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основными видами деятельности, разрешенными к осуществлению на территории промышленного парка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64F9" w:rsidRPr="00DE6060" w:rsidRDefault="005A64F9" w:rsidP="00CD4CE9">
      <w:pPr>
        <w:pStyle w:val="a4"/>
        <w:numPr>
          <w:ilvl w:val="0"/>
          <w:numId w:val="61"/>
        </w:num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оформления помещений 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целей передачи в аренду субъектам МСП, при взаимодействии с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АО «Федеральная корпорация развития МСП»;</w:t>
      </w:r>
    </w:p>
    <w:p w:rsidR="005A64F9" w:rsidRPr="00DE6060" w:rsidRDefault="005A64F9" w:rsidP="00CD4CE9">
      <w:pPr>
        <w:pStyle w:val="a4"/>
        <w:numPr>
          <w:ilvl w:val="0"/>
          <w:numId w:val="61"/>
        </w:num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поиска и привлечения инвесторов и подрядчиков на территории промышленных парков для целей формирования</w:t>
      </w:r>
      <w:r w:rsidR="00C9561F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планировани</w:t>
      </w:r>
      <w:r w:rsidR="00C9561F" w:rsidRPr="00DE60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территорий и их благоустройства;</w:t>
      </w:r>
    </w:p>
    <w:p w:rsidR="005A64F9" w:rsidRPr="00DE6060" w:rsidRDefault="005A64F9" w:rsidP="00CD4CE9">
      <w:pPr>
        <w:pStyle w:val="a4"/>
        <w:numPr>
          <w:ilvl w:val="0"/>
          <w:numId w:val="61"/>
        </w:numPr>
        <w:spacing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поиска и сопровождения субъектов предпринимательства для целей оформления резиденства промышленных парков, с применением оптимального набора доступных форм поддержки инвестиционных проектов, а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достижения оптимальных экономических результатов деятельности субъектов предпринимательства и роста инвестиций. </w:t>
      </w:r>
    </w:p>
    <w:p w:rsidR="006D3CC5" w:rsidRPr="00DE6060" w:rsidRDefault="006D3CC5" w:rsidP="002E0631">
      <w:pPr>
        <w:spacing w:line="244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4705E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системы мер правовой поддержки субъектов МСП</w:t>
      </w:r>
    </w:p>
    <w:p w:rsidR="006D3CC5" w:rsidRPr="00DE6060" w:rsidRDefault="006D3CC5" w:rsidP="002E063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84705E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.1. Правовая поддержка субъектов МСП</w:t>
      </w:r>
    </w:p>
    <w:p w:rsidR="006D3CC5" w:rsidRPr="00DE6060" w:rsidRDefault="005D7106" w:rsidP="002E0631">
      <w:pPr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в 2017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годах осуществи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реализацию мер по организации правовой поддержки МСП, в первую очередь по юридическому содействию стартапам, созданию и внедрению инструментов такой поддержки.</w:t>
      </w:r>
      <w:r w:rsidR="00DF7B2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Осуществлено</w:t>
      </w:r>
      <w:r w:rsidR="00DF7B2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создание «Региональной базы типовых бизнес-планов», проработанной с учетом специфики региона.</w:t>
      </w:r>
    </w:p>
    <w:p w:rsidR="006D3CC5" w:rsidRPr="00DE6060" w:rsidRDefault="006D3CC5" w:rsidP="002E0631">
      <w:pPr>
        <w:spacing w:line="15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5D7106" w:rsidP="00E73BE8">
      <w:pPr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в рамках создан</w:t>
      </w:r>
      <w:r w:rsidR="00CE3286" w:rsidRPr="00DE6060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286" w:rsidRPr="00DE6060">
        <w:rPr>
          <w:rFonts w:ascii="Times New Roman" w:eastAsia="Times New Roman" w:hAnsi="Times New Roman" w:cs="Times New Roman"/>
          <w:sz w:val="24"/>
          <w:szCs w:val="24"/>
        </w:rPr>
        <w:t xml:space="preserve">АО «Корпорация развития МСП»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«базы правовых решений для субъектов МСП» разработа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л,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участием 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общероссийских организаций, выражающих интересы субъектов МСП, и размести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CE3286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не менее 5 типовых проблемных ситуаций (кейсов), возникающих при реализации субъектами МСП бизнес-проектов, и описания юридических механизмов выхода из них, а также при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нял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исчерпывающие меры по обеспечению практического применения указанных кейсов</w:t>
      </w:r>
      <w:r w:rsidR="00CE328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пределах региона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, в том числе с привлечением отраслевых организаций и организаций, образующих инфраструктуру поддержки субъектов МСП, не менее чем в 50% </w:t>
      </w:r>
      <w:r w:rsidR="00CE3286" w:rsidRPr="00DE6060">
        <w:rPr>
          <w:rFonts w:ascii="Times New Roman" w:eastAsia="Times New Roman" w:hAnsi="Times New Roman" w:cs="Times New Roman"/>
          <w:sz w:val="24"/>
          <w:szCs w:val="24"/>
        </w:rPr>
        <w:t>муниципальных образований Чукотского АО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16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16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84705E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="006D3CC5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.2. Содействие деятельности общероссийских некоммерческих организаций, выражающих интересы субъектов МСП</w:t>
      </w:r>
    </w:p>
    <w:p w:rsidR="006D3CC5" w:rsidRPr="00DE6060" w:rsidRDefault="00C94FC5" w:rsidP="005A64F9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принял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исчерпывающие меры по 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взаимодействию, без заключения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соглашений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>организациями инфраструктуры поддержки предпринимательства, в т.ч.</w:t>
      </w:r>
      <w:r w:rsidR="006C4A2F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но не исключительно: с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организацией «Агентство</w:t>
      </w:r>
      <w:r w:rsidR="002A2AB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стратегических</w:t>
      </w:r>
      <w:r w:rsidR="00EC2D01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="006D3CC5" w:rsidRPr="00DE6060">
        <w:rPr>
          <w:rFonts w:ascii="Times New Roman" w:hAnsi="Times New Roman" w:cs="Times New Roman"/>
          <w:sz w:val="24"/>
          <w:szCs w:val="24"/>
        </w:rPr>
        <w:tab/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A64F9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родвижению</w:t>
      </w:r>
      <w:r w:rsidR="0085400E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="0085400E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проектов»,</w:t>
      </w:r>
      <w:r w:rsidR="002A2AB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Общероссийской общественной организацией «Деловая Россия», Общероссийской общественной организацией малого и среднего предпринимательства «Опора России», Общероссийской общественной организацией «Российский союз пром</w:t>
      </w:r>
      <w:r w:rsidR="000B2FC7" w:rsidRPr="00DE6060">
        <w:rPr>
          <w:rFonts w:ascii="Times New Roman" w:eastAsia="Times New Roman" w:hAnsi="Times New Roman" w:cs="Times New Roman"/>
          <w:sz w:val="24"/>
          <w:szCs w:val="24"/>
        </w:rPr>
        <w:t>ышленников и предпринимателей»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, выражающие интересы субъектов МСП.</w:t>
      </w:r>
    </w:p>
    <w:p w:rsidR="006D3CC5" w:rsidRPr="00DE6060" w:rsidRDefault="006D3CC5" w:rsidP="002E0631">
      <w:pPr>
        <w:spacing w:line="12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0"/>
          <w:numId w:val="20"/>
        </w:numPr>
        <w:tabs>
          <w:tab w:val="left" w:pos="1155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целях реализации указанных соглашений в 201</w:t>
      </w:r>
      <w:r w:rsidR="005D1BBC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5D1BB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BBC" w:rsidRPr="00DE6060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5D1BBC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«дорожных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карт» по проведению совместных мероприятий в целях оказания поддержки субъектам МСП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не осуществлялась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то же время, проведение мероприятий, направленных на повышение информированности субъектов МСП и заинтересованных лиц, о мерах государственной поддержки, осуществлялось с привлечением региональных отделений общественных организаций. </w:t>
      </w:r>
    </w:p>
    <w:p w:rsidR="006D3CC5" w:rsidRPr="00DE6060" w:rsidRDefault="006D3CC5" w:rsidP="002E0631">
      <w:pPr>
        <w:spacing w:line="9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Кроме того, </w:t>
      </w:r>
      <w:r w:rsidR="00C06C92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C06C92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-2019гг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няты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меры по взаимодействи</w:t>
      </w:r>
      <w:r w:rsidR="00C06C92" w:rsidRPr="00DE606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общероссийскими организациями, выражающими интересы субъектов МСП, сбора информации</w:t>
      </w:r>
      <w:r w:rsidR="00C06C92" w:rsidRPr="00DE6060">
        <w:rPr>
          <w:rFonts w:ascii="Times New Roman" w:eastAsia="Times New Roman" w:hAnsi="Times New Roman" w:cs="Times New Roman"/>
          <w:sz w:val="24"/>
          <w:szCs w:val="24"/>
        </w:rPr>
        <w:t>, в т.ч. возможно, но не исключительно,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анкетирования субъектов МСП и организаций, образующих инфраструктуру поддержки субъектов МСП, </w:t>
      </w:r>
      <w:r w:rsidR="00C06C92"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целей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C06C92" w:rsidRPr="00DE606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системы «обратной связи» по вопросам поддержки субъектов МСП</w:t>
      </w:r>
      <w:r w:rsidR="00C06C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пределах региона на базе сайта 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6C92" w:rsidRPr="00DE6060" w:rsidRDefault="00C06C92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обеспечи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л,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мере необходимости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своей деятельности:</w:t>
      </w:r>
    </w:p>
    <w:p w:rsidR="006D3CC5" w:rsidRPr="00DE6060" w:rsidRDefault="00C06C92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принятие мер по </w:t>
      </w:r>
      <w:r w:rsidR="0004435E" w:rsidRPr="00DE6060">
        <w:rPr>
          <w:rFonts w:ascii="Times New Roman" w:eastAsia="Times New Roman" w:hAnsi="Times New Roman" w:cs="Times New Roman"/>
          <w:sz w:val="24"/>
          <w:szCs w:val="24"/>
        </w:rPr>
        <w:t>выработке экспертных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</w:t>
      </w:r>
      <w:r w:rsidR="0004435E" w:rsidRPr="00DE60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</w:t>
      </w:r>
      <w:r w:rsidR="0004435E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законо</w:t>
      </w:r>
      <w:r w:rsidR="007D2A10" w:rsidRPr="00DE6060">
        <w:rPr>
          <w:rFonts w:ascii="Times New Roman" w:eastAsia="Times New Roman" w:hAnsi="Times New Roman" w:cs="Times New Roman"/>
          <w:sz w:val="24"/>
          <w:szCs w:val="24"/>
        </w:rPr>
        <w:t>дательства в сфере развития МСП;</w:t>
      </w:r>
    </w:p>
    <w:p w:rsidR="006D3CC5" w:rsidRPr="00DE6060" w:rsidRDefault="00C06C92" w:rsidP="002E0631">
      <w:pPr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меры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совместных мероприятий по популяризации предпринимательской деятельности, в том числе с использованием сети 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коммерческих банков,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отраслевых и региональных представительств некоммерческих организаций, выражающих интересы субъектов МСП.</w:t>
      </w:r>
      <w:r w:rsidR="00EC2D01" w:rsidRPr="00DE6060">
        <w:rPr>
          <w:rFonts w:ascii="Times New Roman" w:eastAsia="Times New Roman" w:hAnsi="Times New Roman" w:cs="Times New Roman"/>
          <w:sz w:val="24"/>
          <w:szCs w:val="24"/>
        </w:rPr>
        <w:t xml:space="preserve"> Были привлечены партнёры федерального уровня, в т.ч. АО Деловая среда, Информационное агентство ТАСС.</w:t>
      </w:r>
    </w:p>
    <w:p w:rsidR="006D3CC5" w:rsidRPr="00DE6060" w:rsidRDefault="006D3CC5" w:rsidP="002E0631">
      <w:pPr>
        <w:spacing w:line="234" w:lineRule="auto"/>
        <w:ind w:right="-31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82022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97847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Подготовка предложений в </w:t>
      </w:r>
      <w:r w:rsidR="00712077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 органы власти и местного самоуправления</w:t>
      </w:r>
      <w:r w:rsidR="00F27263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 конкуренции и развития малого и</w:t>
      </w:r>
      <w:r w:rsidR="00F27263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среднего предпринимательства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принятия решений в части оказания поддержки субъектам МСП</w:t>
      </w:r>
    </w:p>
    <w:p w:rsidR="006D3CC5" w:rsidRPr="00DE6060" w:rsidRDefault="005765D2" w:rsidP="002E0631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61E1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иницииро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ванию и проработке предложений о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мер поддержки субъектов МСП, в том числе предложений по совершенствованию нормативно-правового регулирования в этой сфере, в соответствии с приоритетными направлениями деятельности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целях их направления 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компетентные органы региона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конкуренции и развития малого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201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годах на основе результатов мониторинга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мер поддержки субъектов МСП, проанализированных данных о наиболее проблемных вопросах развития МСП продолжи</w:t>
      </w:r>
      <w:r w:rsidR="00961E1A" w:rsidRPr="00DE6060">
        <w:rPr>
          <w:rFonts w:ascii="Times New Roman" w:eastAsia="Times New Roman" w:hAnsi="Times New Roman" w:cs="Times New Roman"/>
          <w:sz w:val="24"/>
          <w:szCs w:val="24"/>
        </w:rPr>
        <w:t>л,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основными направлениями деятельности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, установленными программами деятельности на соответствующий период, работу по оперативной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подготовке и направлению 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компетентные уполномоченные региональные органы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предложений по совершенствованию нормативно-правового</w:t>
      </w:r>
      <w:r w:rsidR="00C37DA6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регулирования поддержки МСП.</w:t>
      </w:r>
      <w:r w:rsidR="00961E1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т.ч. проводилась работа по взаимодействию с отраслевыми департаментами региона, АО «Корпорация развития Дальнего Востока», АО «Корпорация МСП», Министерство развития Дальнего Востока и т.д.</w:t>
      </w:r>
    </w:p>
    <w:p w:rsidR="000422BA" w:rsidRPr="00DE6060" w:rsidRDefault="000422BA" w:rsidP="002E0631">
      <w:pPr>
        <w:spacing w:line="23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E267F0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82022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D3CC5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Участие в формировании инфраструктуры поддержки субъектов </w:t>
      </w:r>
      <w:r w:rsidR="00362E37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предпринимательства</w:t>
      </w:r>
      <w:r w:rsidR="006D3CC5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обеспечение ее деятельности</w:t>
      </w:r>
    </w:p>
    <w:p w:rsidR="006D3CC5" w:rsidRPr="00DE6060" w:rsidRDefault="004F27CD" w:rsidP="00CD4CE9">
      <w:pPr>
        <w:numPr>
          <w:ilvl w:val="0"/>
          <w:numId w:val="21"/>
        </w:numPr>
        <w:tabs>
          <w:tab w:val="left" w:pos="1256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рамках участия 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формировании инфраструктуры поддержки субъектов 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обеспечении ее деятельности </w:t>
      </w:r>
      <w:r w:rsidR="00D85D37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пределах Чукотского АО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выделены следующие направления.</w:t>
      </w:r>
    </w:p>
    <w:p w:rsidR="006D3CC5" w:rsidRPr="00DE6060" w:rsidRDefault="006D3CC5" w:rsidP="002E0631">
      <w:pPr>
        <w:spacing w:line="23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1) Развитие финансовой инфраструктуры</w:t>
      </w:r>
      <w:r w:rsidR="00D85D37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3CC5" w:rsidRPr="00DE6060" w:rsidRDefault="00193A9D" w:rsidP="00CD4CE9">
      <w:pPr>
        <w:numPr>
          <w:ilvl w:val="0"/>
          <w:numId w:val="21"/>
        </w:numPr>
        <w:tabs>
          <w:tab w:val="left" w:pos="851"/>
        </w:tabs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соответствии с поручением Правительства Российской Федерации</w:t>
      </w:r>
      <w:r w:rsidR="0085400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от 05.12.2014 № ИШ-П13-8997 приказом Минэкономразвития России от 19.02.2015 № 74 утверждены основные положения Стратегии</w:t>
      </w:r>
      <w:r w:rsidR="00D85D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НГС</w:t>
      </w:r>
      <w:r w:rsidR="00A22453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5D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частью которой </w:t>
      </w:r>
      <w:r w:rsidR="00BE0E26" w:rsidRPr="00DE6060">
        <w:rPr>
          <w:rFonts w:ascii="Times New Roman" w:eastAsia="Times New Roman" w:hAnsi="Times New Roman" w:cs="Times New Roman"/>
          <w:sz w:val="24"/>
          <w:szCs w:val="24"/>
        </w:rPr>
        <w:t>стал в 2017г</w:t>
      </w:r>
      <w:r w:rsidR="00D85D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 w:rsidR="00FA2A8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5D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заключения соглашения о партнёрстве с АО «Федеральная корпорация развития МСП».</w:t>
      </w:r>
    </w:p>
    <w:p w:rsidR="006D3CC5" w:rsidRPr="00DE6060" w:rsidRDefault="006D3CC5" w:rsidP="002E0631">
      <w:pPr>
        <w:spacing w:line="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8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4F27CD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в рамках реализации функции региональной гарантийной организации </w:t>
      </w:r>
      <w:r w:rsidR="00E13A5C" w:rsidRPr="00DE6060">
        <w:rPr>
          <w:rFonts w:ascii="Times New Roman" w:eastAsia="Times New Roman" w:hAnsi="Times New Roman" w:cs="Times New Roman"/>
          <w:sz w:val="24"/>
          <w:szCs w:val="24"/>
        </w:rPr>
        <w:t xml:space="preserve">на этапе ввода их в перечень основных видов деятельности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учитывает все законодательные норм</w:t>
      </w:r>
      <w:r w:rsidR="00E13A5C" w:rsidRPr="00DE606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 институтов поддержки МСП в Российской Федерации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3A5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Данный подход обеспечи</w:t>
      </w:r>
      <w:r w:rsidR="00BE0E26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13A5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конкурентные условия</w:t>
      </w:r>
      <w:r w:rsidR="00D85D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максимальный охват спектра</w:t>
      </w:r>
      <w:r w:rsidR="000F6F4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продуктов и</w:t>
      </w:r>
      <w:r w:rsidR="00D85D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2200FA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3A5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предлагаемых Фондом.</w:t>
      </w:r>
    </w:p>
    <w:p w:rsidR="006D3CC5" w:rsidRPr="00DE6060" w:rsidRDefault="006D3CC5" w:rsidP="002E0631">
      <w:pPr>
        <w:spacing w:line="9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2) Развитие консультационной инфраструктуры</w:t>
      </w:r>
    </w:p>
    <w:p w:rsidR="006D3CC5" w:rsidRPr="00DE6060" w:rsidRDefault="006D3CC5" w:rsidP="0082738E">
      <w:pPr>
        <w:spacing w:after="120"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   целях   координации   деятельности   организаций, образующих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инфраструктуру поддержки субъектов </w:t>
      </w:r>
      <w:r w:rsidR="00A22453" w:rsidRPr="00DE6060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оказыв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 xml:space="preserve">ающих консультационные услуги, Фонд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</w:p>
    <w:p w:rsidR="006D3CC5" w:rsidRPr="00DE6060" w:rsidRDefault="006D3CC5" w:rsidP="0082738E">
      <w:pPr>
        <w:spacing w:after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прове</w:t>
      </w:r>
      <w:r w:rsidR="00BE0E26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анализ лучших практик деятельности организаций, образующих консультационную инфраструктуру поддержки субъектов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предпринимательства, в </w:t>
      </w:r>
      <w:proofErr w:type="spellStart"/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субъектов МСП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82738E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сформир</w:t>
      </w:r>
      <w:r w:rsidR="00BE0E26" w:rsidRPr="00DE6060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>пул наиболее востребованных практик применения обучающих программ и включит</w:t>
      </w:r>
      <w:r w:rsidR="001B5176" w:rsidRPr="00DE6060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процесс проведения обучающих семинаров на территории Чукотского АО</w:t>
      </w:r>
      <w:r w:rsidR="001B5176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уполномоченными организациями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>, а также в процесс консультирования субъектов</w:t>
      </w:r>
      <w:r w:rsidR="00823924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</w:t>
      </w:r>
      <w:r w:rsidR="001B5176" w:rsidRPr="00DE6060">
        <w:rPr>
          <w:rFonts w:ascii="Times New Roman" w:eastAsia="Times New Roman" w:hAnsi="Times New Roman" w:cs="Times New Roman"/>
          <w:sz w:val="24"/>
          <w:szCs w:val="24"/>
        </w:rPr>
        <w:t>. В т.ч.</w:t>
      </w:r>
      <w:r w:rsidR="008E63E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176" w:rsidRPr="00DE6060">
        <w:rPr>
          <w:rFonts w:ascii="Times New Roman" w:eastAsia="Times New Roman" w:hAnsi="Times New Roman" w:cs="Times New Roman"/>
          <w:sz w:val="24"/>
          <w:szCs w:val="24"/>
        </w:rPr>
        <w:t>Фонд примени</w:t>
      </w:r>
      <w:r w:rsidR="00BE0E26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1B5176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ряд наиболее востребованных на территории Чукотского АО практик</w:t>
      </w:r>
      <w:r w:rsidR="008734AF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разработанных АО «</w:t>
      </w:r>
      <w:r w:rsidR="001B5176" w:rsidRPr="00DE6060">
        <w:rPr>
          <w:rFonts w:ascii="Times New Roman" w:eastAsia="Times New Roman" w:hAnsi="Times New Roman" w:cs="Times New Roman"/>
          <w:sz w:val="24"/>
          <w:szCs w:val="24"/>
        </w:rPr>
        <w:t>Федеральная к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>орпорация развития МСП»</w:t>
      </w:r>
      <w:r w:rsidR="001B5176" w:rsidRPr="00DE6060">
        <w:rPr>
          <w:rFonts w:ascii="Times New Roman" w:eastAsia="Times New Roman" w:hAnsi="Times New Roman" w:cs="Times New Roman"/>
          <w:sz w:val="24"/>
          <w:szCs w:val="24"/>
        </w:rPr>
        <w:t xml:space="preserve">, в т.ч. (но не исключительно) с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привлечением российских общественных организаций, осуществляющих деятельность в области поддержки предпринимательства, и возможностей высших учебных заведений;</w:t>
      </w:r>
    </w:p>
    <w:p w:rsidR="006D3CC5" w:rsidRPr="00DE6060" w:rsidRDefault="00BE0E26" w:rsidP="0082738E">
      <w:pPr>
        <w:spacing w:after="120" w:line="20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приняты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меры, направленные на 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обучающих программ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коммерческих структур и </w:t>
      </w:r>
      <w:r w:rsidR="00E73BE8" w:rsidRPr="00DE6060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предпринимательства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F89" w:rsidRPr="00DE6060">
        <w:rPr>
          <w:rFonts w:ascii="Times New Roman" w:eastAsia="Times New Roman" w:hAnsi="Times New Roman" w:cs="Times New Roman"/>
          <w:sz w:val="24"/>
          <w:szCs w:val="24"/>
        </w:rPr>
        <w:t>при консультациях субъектов предпринимательства на территории Чукотского АО;</w:t>
      </w:r>
    </w:p>
    <w:p w:rsidR="006D3CC5" w:rsidRPr="00DE6060" w:rsidRDefault="008734AF" w:rsidP="0082738E">
      <w:pPr>
        <w:spacing w:after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при</w:t>
      </w:r>
      <w:r w:rsidR="00BE0E26" w:rsidRPr="00DE6060">
        <w:rPr>
          <w:rFonts w:ascii="Times New Roman" w:eastAsia="Times New Roman" w:hAnsi="Times New Roman" w:cs="Times New Roman"/>
          <w:sz w:val="24"/>
          <w:szCs w:val="24"/>
        </w:rPr>
        <w:t>няты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совместн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о с органами власти, коммерческими структура</w:t>
      </w:r>
      <w:r w:rsidR="006A122F" w:rsidRPr="00DE6060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округа, </w:t>
      </w:r>
      <w:r w:rsidR="00E73BE8" w:rsidRPr="00DE6060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инфраструктуры поддержки предпринимательства,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22453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популяризации предпринимательской деятельности и формированию предпринимательского мышления у школьников и молодежи совместно с деловыми объединениями предпринимателей и молодежными общественными организациями.</w:t>
      </w:r>
    </w:p>
    <w:p w:rsidR="006D3CC5" w:rsidRPr="00DE6060" w:rsidRDefault="006D3CC5" w:rsidP="0082738E">
      <w:pPr>
        <w:spacing w:after="120" w:line="8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7E2539" w:rsidRPr="00DE6060" w:rsidRDefault="004B2F8A" w:rsidP="0082738E">
      <w:pPr>
        <w:spacing w:after="12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2018 году </w:t>
      </w:r>
      <w:r w:rsidR="0038563E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451886" w:rsidRPr="00DE6060">
        <w:rPr>
          <w:rFonts w:ascii="Times New Roman" w:eastAsia="Times New Roman" w:hAnsi="Times New Roman" w:cs="Times New Roman"/>
          <w:sz w:val="24"/>
          <w:szCs w:val="24"/>
        </w:rPr>
        <w:t xml:space="preserve">общепринятой </w:t>
      </w:r>
      <w:r w:rsidR="0038563E" w:rsidRPr="00DE6060">
        <w:rPr>
          <w:rFonts w:ascii="Times New Roman" w:eastAsia="Times New Roman" w:hAnsi="Times New Roman" w:cs="Times New Roman"/>
          <w:sz w:val="24"/>
          <w:szCs w:val="24"/>
        </w:rPr>
        <w:t xml:space="preserve">стратегии развития малого предпринимательства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на основе анализа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АО «Корпорацией развития МСП»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лучших практик деятельности организаций, образующих консультационную инфраструктуру поддержки субъектов МСП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обеспечи</w:t>
      </w:r>
      <w:r w:rsidR="00BE0E26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726" w:rsidRPr="00DE6060">
        <w:rPr>
          <w:rFonts w:ascii="Times New Roman" w:eastAsia="Times New Roman" w:hAnsi="Times New Roman" w:cs="Times New Roman"/>
          <w:sz w:val="24"/>
          <w:szCs w:val="24"/>
        </w:rPr>
        <w:t>максимальную информированность субъектов МСП региона и обеспечи</w:t>
      </w:r>
      <w:r w:rsidR="00E73BE8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CA172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максимально упрощенный доступ к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возможност</w:t>
      </w:r>
      <w:r w:rsidR="00CA1726" w:rsidRPr="00DE6060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записи на обучающие программы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институтов развития предпринимательства субъектов Российской Федерации, АО «Корпорация развития МСП»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, реализуемые организациями, образующими консультационную</w:t>
      </w:r>
      <w:r w:rsidR="00451886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539" w:rsidRPr="00DE6060">
        <w:rPr>
          <w:rFonts w:ascii="Times New Roman" w:eastAsia="Times New Roman" w:hAnsi="Times New Roman" w:cs="Times New Roman"/>
          <w:sz w:val="24"/>
          <w:szCs w:val="24"/>
        </w:rPr>
        <w:t>инфраструктуру поддержки субъектов МСП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, в т.ч. </w:t>
      </w:r>
      <w:r w:rsidR="007E2539" w:rsidRPr="00DE6060">
        <w:rPr>
          <w:rFonts w:ascii="Times New Roman" w:eastAsia="Times New Roman" w:hAnsi="Times New Roman" w:cs="Times New Roman"/>
          <w:sz w:val="24"/>
          <w:szCs w:val="24"/>
        </w:rPr>
        <w:t>на площадках МФЦ.</w:t>
      </w:r>
    </w:p>
    <w:p w:rsidR="007302EF" w:rsidRPr="00DE6060" w:rsidRDefault="007302EF" w:rsidP="0082738E">
      <w:pPr>
        <w:spacing w:after="12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проведенной работы стало расширение направлений деятельности Фонда с одного до </w:t>
      </w:r>
      <w:r w:rsidR="00E82121" w:rsidRPr="00DE6060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в т.ч.:</w:t>
      </w:r>
    </w:p>
    <w:p w:rsidR="00E357C0" w:rsidRPr="00DE6060" w:rsidRDefault="00E357C0" w:rsidP="00BA6A56">
      <w:pPr>
        <w:pStyle w:val="a4"/>
        <w:numPr>
          <w:ilvl w:val="0"/>
          <w:numId w:val="6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Единый орган управления организациями, образующими инфраструктуру поддержки субъектов малого и среднего предпринимательства Чукотского автономного округа;</w:t>
      </w:r>
    </w:p>
    <w:p w:rsidR="00E357C0" w:rsidRPr="00DE6060" w:rsidRDefault="00E357C0" w:rsidP="00BA6A56">
      <w:pPr>
        <w:pStyle w:val="a4"/>
        <w:numPr>
          <w:ilvl w:val="0"/>
          <w:numId w:val="6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Региональная гарантийная организация;</w:t>
      </w:r>
    </w:p>
    <w:p w:rsidR="00E357C0" w:rsidRPr="00DE6060" w:rsidRDefault="00E357C0" w:rsidP="00BA6A56">
      <w:pPr>
        <w:pStyle w:val="a4"/>
        <w:numPr>
          <w:ilvl w:val="0"/>
          <w:numId w:val="6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Центр поддержки предпринимательства;</w:t>
      </w:r>
    </w:p>
    <w:p w:rsidR="00E357C0" w:rsidRPr="00DE6060" w:rsidRDefault="00E357C0" w:rsidP="00BA6A56">
      <w:pPr>
        <w:pStyle w:val="a4"/>
        <w:numPr>
          <w:ilvl w:val="0"/>
          <w:numId w:val="6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Специализированная организация по работе с инвесторами и привлечению инвестиций;</w:t>
      </w:r>
    </w:p>
    <w:p w:rsidR="00E357C0" w:rsidRPr="00DE6060" w:rsidRDefault="00E357C0" w:rsidP="00BA6A56">
      <w:pPr>
        <w:pStyle w:val="a4"/>
        <w:numPr>
          <w:ilvl w:val="0"/>
          <w:numId w:val="6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Центр поддержки экспорта</w:t>
      </w:r>
      <w:r w:rsidR="00BA6A56" w:rsidRPr="00DE6060">
        <w:rPr>
          <w:rFonts w:ascii="Times New Roman" w:hAnsi="Times New Roman" w:cs="Times New Roman"/>
          <w:sz w:val="24"/>
          <w:szCs w:val="24"/>
        </w:rPr>
        <w:t>;</w:t>
      </w:r>
      <w:r w:rsidRPr="00DE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7C0" w:rsidRPr="00DE6060" w:rsidRDefault="00E357C0" w:rsidP="00BA6A56">
      <w:pPr>
        <w:pStyle w:val="a4"/>
        <w:numPr>
          <w:ilvl w:val="0"/>
          <w:numId w:val="6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Центр н</w:t>
      </w:r>
      <w:r w:rsidR="00BA6A56" w:rsidRPr="00DE6060">
        <w:rPr>
          <w:rFonts w:ascii="Times New Roman" w:hAnsi="Times New Roman" w:cs="Times New Roman"/>
          <w:sz w:val="24"/>
          <w:szCs w:val="24"/>
        </w:rPr>
        <w:t>ародно-художественных промыслов</w:t>
      </w:r>
      <w:r w:rsidRPr="00DE6060">
        <w:rPr>
          <w:rFonts w:ascii="Times New Roman" w:hAnsi="Times New Roman" w:cs="Times New Roman"/>
          <w:sz w:val="24"/>
          <w:szCs w:val="24"/>
        </w:rPr>
        <w:t>;</w:t>
      </w:r>
    </w:p>
    <w:p w:rsidR="00E357C0" w:rsidRPr="00DE6060" w:rsidRDefault="00E357C0" w:rsidP="00BA6A56">
      <w:pPr>
        <w:pStyle w:val="a4"/>
        <w:numPr>
          <w:ilvl w:val="0"/>
          <w:numId w:val="66"/>
        </w:numPr>
        <w:spacing w:after="0" w:line="276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Центр компетенций в сфере сельскохозяйственной кооперации и поддержки фермеров.</w:t>
      </w:r>
    </w:p>
    <w:p w:rsidR="0094478C" w:rsidRPr="00DE6060" w:rsidRDefault="0094478C" w:rsidP="00832E86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Количество мероприятий, проведенных Фондом выросло</w:t>
      </w:r>
      <w:r w:rsidR="00832E86" w:rsidRPr="00DE606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832E86" w:rsidRPr="00DE60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32E86" w:rsidRPr="00DE6060">
        <w:rPr>
          <w:rFonts w:ascii="Times New Roman" w:hAnsi="Times New Roman" w:cs="Times New Roman"/>
          <w:sz w:val="24"/>
          <w:szCs w:val="24"/>
        </w:rPr>
        <w:t>.:</w:t>
      </w:r>
      <w:r w:rsidRPr="00DE6060">
        <w:rPr>
          <w:rFonts w:ascii="Times New Roman" w:hAnsi="Times New Roman" w:cs="Times New Roman"/>
          <w:sz w:val="24"/>
          <w:szCs w:val="24"/>
        </w:rPr>
        <w:t xml:space="preserve"> 21</w:t>
      </w:r>
      <w:r w:rsidR="00832E86" w:rsidRPr="00DE6060">
        <w:rPr>
          <w:rFonts w:ascii="Times New Roman" w:hAnsi="Times New Roman" w:cs="Times New Roman"/>
          <w:sz w:val="24"/>
          <w:szCs w:val="24"/>
        </w:rPr>
        <w:t>шт.</w:t>
      </w:r>
      <w:r w:rsidR="00E73BE8" w:rsidRPr="00DE6060">
        <w:rPr>
          <w:rFonts w:ascii="Times New Roman" w:hAnsi="Times New Roman" w:cs="Times New Roman"/>
          <w:sz w:val="24"/>
          <w:szCs w:val="24"/>
        </w:rPr>
        <w:t xml:space="preserve"> в 20</w:t>
      </w:r>
      <w:r w:rsidR="00832E86" w:rsidRPr="00DE6060">
        <w:rPr>
          <w:rFonts w:ascii="Times New Roman" w:hAnsi="Times New Roman" w:cs="Times New Roman"/>
          <w:sz w:val="24"/>
          <w:szCs w:val="24"/>
        </w:rPr>
        <w:t>1</w:t>
      </w:r>
      <w:r w:rsidR="00E73BE8" w:rsidRPr="00DE6060">
        <w:rPr>
          <w:rFonts w:ascii="Times New Roman" w:hAnsi="Times New Roman" w:cs="Times New Roman"/>
          <w:sz w:val="24"/>
          <w:szCs w:val="24"/>
        </w:rPr>
        <w:t>6г</w:t>
      </w:r>
      <w:r w:rsidRPr="00DE6060">
        <w:rPr>
          <w:rFonts w:ascii="Times New Roman" w:hAnsi="Times New Roman" w:cs="Times New Roman"/>
          <w:sz w:val="24"/>
          <w:szCs w:val="24"/>
        </w:rPr>
        <w:t xml:space="preserve">, </w:t>
      </w:r>
      <w:r w:rsidR="00832E86" w:rsidRPr="00DE6060">
        <w:rPr>
          <w:rFonts w:ascii="Times New Roman" w:hAnsi="Times New Roman" w:cs="Times New Roman"/>
          <w:sz w:val="24"/>
          <w:szCs w:val="24"/>
        </w:rPr>
        <w:t>16 шт.</w:t>
      </w:r>
      <w:r w:rsidRPr="00DE6060">
        <w:rPr>
          <w:rFonts w:ascii="Times New Roman" w:hAnsi="Times New Roman" w:cs="Times New Roman"/>
          <w:sz w:val="24"/>
          <w:szCs w:val="24"/>
        </w:rPr>
        <w:t xml:space="preserve"> в 2017г, в 2018г – 56, в 2019г данный показатель достиг 75, что выше показателя 2018 года на 33%</w:t>
      </w:r>
      <w:r w:rsidR="00832E86" w:rsidRPr="00DE6060">
        <w:rPr>
          <w:rFonts w:ascii="Times New Roman" w:hAnsi="Times New Roman" w:cs="Times New Roman"/>
          <w:sz w:val="24"/>
          <w:szCs w:val="24"/>
        </w:rPr>
        <w:t>.</w:t>
      </w:r>
    </w:p>
    <w:p w:rsidR="007302EF" w:rsidRPr="00DE6060" w:rsidRDefault="00B348E9" w:rsidP="0082738E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За 2019 год Фондом в качестве Центра поддержки предпринимательства оказано 2873 услуги, воспользовалось которыми 358 субъектов малого и среднего предпринимательства и 454 физических лица, заинтересованных в осуществлении предпринимательской деятельности. Благодаря поддержке, оказанной сотрудниками Фонда, свой бизнес открыли 22 предпринимателя.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В 2019 году Фондом в качестве Центра поддержки предпринимательства проведены мероприятия по возмещению затрат субъектов малого и среднего предпринимательства, связанных с популяризацией своей продукции. Поддержку получили 11 субъектов малого и среднего предпринимательства.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В 2019 году по направлению поддержки и обучения субъектов малого и среднего предпринимательства Фонд организовал 5 бизнес-миссий в которых участие приняли 16 субъектов МСП. Бизнес-миссия - это коллективная поездка представителей субъектов малого и среднего предпринимательства с целью поиска партнёров, презентации проектов и заключения контрактов. Результатом участия в бизнес-миссиях стали подписанные соглашения о сотрудничестве с перспективными партнёрами, данные соглашения дали стимул к развитию бизнеса и повышению качества предоставляемых услуг. А самое главное, субъектам малого и среднего предпринимательства теперь стало доступно партнёрское пространство других регионов.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Также в рамках реализации национального проекта «Малое и среднее предпринимательство и поддержка индивидуальной предпринимательской инициативы» в 2019 году Фондом организовано участие 10 субъектов МСП в 3 выставочно-ярмарочных мероприятиях: «Международная выставка-ярмарка «Сокровища Севера», «Улицы Дальнего Востока» на площадке Восточного экономического форума в г. Владивосток, «Дни Дальнего Востока» в Москве.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Всего консультационная поддержка оказана 277 субъектам МСП и 39 физическим лицам.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В апреле 2019 года сотрудником Фонда получен сертификат тренера от АО «Корпорация «МСП».  Сертифицированный тренер – заместитель директора Фонда Гурина Мария Николаевна провела в г. Анадырь, г. Билибино, г. Певек 14 тренингов в рамках программы обучения АО «Корпорация «МСП» для субъектов малого и среднего предпринимательства, а </w:t>
      </w:r>
      <w:r w:rsidR="00193A9D" w:rsidRPr="00DE6060">
        <w:rPr>
          <w:rFonts w:ascii="Times New Roman" w:hAnsi="Times New Roman" w:cs="Times New Roman"/>
          <w:sz w:val="24"/>
          <w:szCs w:val="24"/>
        </w:rPr>
        <w:t>также</w:t>
      </w:r>
      <w:r w:rsidRPr="00DE6060">
        <w:rPr>
          <w:rFonts w:ascii="Times New Roman" w:hAnsi="Times New Roman" w:cs="Times New Roman"/>
          <w:sz w:val="24"/>
          <w:szCs w:val="24"/>
        </w:rPr>
        <w:t xml:space="preserve"> для тех, кто хочет начать свой бизнес. Темы тренингов: «Генерация бизнес-идей», «Азбука предпринимателя», «Школа предпринимательства», «Участие в государственных закупках», «Финансовая поддержка», «Консультационная поддержка», основными задачами которых является получение слушателями практических инструментов для создания бизнеса и выбор наиболее приемлемой и жизнеспособной бизнес-идеи.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 xml:space="preserve">25-27 марта в городе Анадырь был проведен </w:t>
      </w:r>
      <w:r w:rsidR="00D74FEF" w:rsidRPr="00DE6060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DE6060">
        <w:rPr>
          <w:rFonts w:ascii="Times New Roman" w:hAnsi="Times New Roman" w:cs="Times New Roman"/>
          <w:sz w:val="24"/>
          <w:szCs w:val="24"/>
        </w:rPr>
        <w:t xml:space="preserve">Межрегиональный форум «Идея – в бизнес. Бизнес – в результат». </w:t>
      </w:r>
      <w:r w:rsidR="00D74FEF" w:rsidRPr="00DE6060">
        <w:rPr>
          <w:rFonts w:ascii="Times New Roman" w:hAnsi="Times New Roman" w:cs="Times New Roman"/>
          <w:sz w:val="24"/>
          <w:szCs w:val="24"/>
        </w:rPr>
        <w:t>В рамках форума проводился комплекс обучающих программ от партнёра АО «Деловая среда».</w:t>
      </w:r>
      <w:r w:rsidRPr="00DE6060">
        <w:rPr>
          <w:rFonts w:ascii="Times New Roman" w:hAnsi="Times New Roman" w:cs="Times New Roman"/>
          <w:sz w:val="24"/>
          <w:szCs w:val="24"/>
        </w:rPr>
        <w:t xml:space="preserve"> Участие в форуме приняли представители власти, крупные инвесторы, предприниматели, молодёжь, приглашенные эксперты – представители туристических компаний. Всего участие приняли свыше 90 человек, из них 33 субъекта малого и среднего бизнеса.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23 апреля в ГО</w:t>
      </w:r>
      <w:r w:rsidR="00D74FEF" w:rsidRPr="00DE6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FEF" w:rsidRPr="00DE6060">
        <w:rPr>
          <w:rFonts w:ascii="Times New Roman" w:hAnsi="Times New Roman" w:cs="Times New Roman"/>
          <w:sz w:val="24"/>
          <w:szCs w:val="24"/>
        </w:rPr>
        <w:t>Эгвекинот</w:t>
      </w:r>
      <w:proofErr w:type="spellEnd"/>
      <w:r w:rsidR="00D74FEF" w:rsidRPr="00DE6060">
        <w:rPr>
          <w:rFonts w:ascii="Times New Roman" w:hAnsi="Times New Roman" w:cs="Times New Roman"/>
          <w:sz w:val="24"/>
          <w:szCs w:val="24"/>
        </w:rPr>
        <w:t xml:space="preserve"> прошла вторая часть </w:t>
      </w:r>
      <w:r w:rsidRPr="00DE6060">
        <w:rPr>
          <w:rFonts w:ascii="Times New Roman" w:hAnsi="Times New Roman" w:cs="Times New Roman"/>
          <w:sz w:val="24"/>
          <w:szCs w:val="24"/>
        </w:rPr>
        <w:t>форума «Идея - в бизнес. Бизнес - в ре</w:t>
      </w:r>
      <w:r w:rsidR="00D74FEF" w:rsidRPr="00DE6060">
        <w:rPr>
          <w:rFonts w:ascii="Times New Roman" w:hAnsi="Times New Roman" w:cs="Times New Roman"/>
          <w:sz w:val="24"/>
          <w:szCs w:val="24"/>
        </w:rPr>
        <w:t>зультат», где проведение обучающих</w:t>
      </w:r>
      <w:r w:rsidRPr="00DE6060">
        <w:rPr>
          <w:rFonts w:ascii="Times New Roman" w:hAnsi="Times New Roman" w:cs="Times New Roman"/>
          <w:sz w:val="24"/>
          <w:szCs w:val="24"/>
        </w:rPr>
        <w:t xml:space="preserve"> программ продолжил спикер Александр Яковлев, руководитель коммерческих проектов Дирекции образовательных программ АО «Деловая среда». Обучающая программа включила два семинара на темы развития туристического кластера, открытых возможностей малому бизнесу и два мастер-класса с индивидуальными консультациями по развитию бизнеса.  Во второй части форума приняли участие более 60 человек, из них 24 субъектов малого и среднего предпринимательства.</w:t>
      </w:r>
    </w:p>
    <w:p w:rsidR="00202EC3" w:rsidRPr="00DE6060" w:rsidRDefault="00202EC3" w:rsidP="00202EC3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Всего поддержку в сфере образования получили 129 уникальных субъектов малого и среднего предпринимательства и 415 физических лиц. Партнерами Фонда проведено за 2019 год 28 обучающих мероприятий, а специалистами Фонда – 15.</w:t>
      </w:r>
    </w:p>
    <w:p w:rsidR="00C960D2" w:rsidRPr="00DE6060" w:rsidRDefault="00C960D2" w:rsidP="00C960D2">
      <w:pPr>
        <w:spacing w:after="12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Для целей расширения доступности информации о существующих мерах государственной поддержки бизнеса и способах её получения Фондом ведется планомерная работа. За 2019 год расширен перечень услуг Фонда, реализуемых через МФЦ, обновлен сайт Фонда в соответствии с потребностями пользователей, создано мобильное приложение, организован телефон бесплатной «горячей» линии 8-800.</w:t>
      </w:r>
    </w:p>
    <w:p w:rsidR="009D4EFD" w:rsidRPr="00DE6060" w:rsidRDefault="009D4EFD" w:rsidP="00CD4CE9">
      <w:pPr>
        <w:numPr>
          <w:ilvl w:val="1"/>
          <w:numId w:val="22"/>
        </w:numPr>
        <w:tabs>
          <w:tab w:val="left" w:pos="1280"/>
        </w:tabs>
        <w:spacing w:after="0" w:line="23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инновационно-производственной инфраструктуры</w:t>
      </w:r>
    </w:p>
    <w:p w:rsidR="009D4EFD" w:rsidRPr="00DE6060" w:rsidRDefault="009D4EFD" w:rsidP="002E0631">
      <w:pPr>
        <w:spacing w:line="9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F46" w:rsidRPr="00DE6060" w:rsidRDefault="009D4EFD" w:rsidP="00CD4CE9">
      <w:pPr>
        <w:numPr>
          <w:ilvl w:val="0"/>
          <w:numId w:val="22"/>
        </w:numPr>
        <w:tabs>
          <w:tab w:val="left" w:pos="1160"/>
        </w:tabs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="004A3F7D"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2019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4A3F7D" w:rsidRPr="00DE6060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 </w:t>
      </w:r>
      <w:r w:rsidR="00172454" w:rsidRPr="00DE6060">
        <w:rPr>
          <w:rFonts w:ascii="Times New Roman" w:eastAsia="Times New Roman" w:hAnsi="Times New Roman" w:cs="Times New Roman"/>
          <w:sz w:val="24"/>
          <w:szCs w:val="24"/>
        </w:rPr>
        <w:t>провёл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работу по</w:t>
      </w:r>
      <w:r w:rsidR="00292D8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направлениям: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F46" w:rsidRPr="00DE6060" w:rsidRDefault="000F6F46" w:rsidP="000F6F46">
      <w:pPr>
        <w:tabs>
          <w:tab w:val="left" w:pos="1160"/>
        </w:tabs>
        <w:spacing w:before="120" w:after="12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3F7D" w:rsidRPr="00DE6060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="00292D8F" w:rsidRPr="00DE60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A3F7D"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Фондом функций центр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 поддержки предпринимательства;</w:t>
      </w:r>
    </w:p>
    <w:p w:rsidR="009D4EFD" w:rsidRPr="00DE6060" w:rsidRDefault="000F6F46" w:rsidP="000F6F46">
      <w:pPr>
        <w:tabs>
          <w:tab w:val="left" w:pos="1160"/>
        </w:tabs>
        <w:spacing w:before="120" w:after="120" w:line="22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3F7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454" w:rsidRPr="00DE6060">
        <w:rPr>
          <w:rFonts w:ascii="Times New Roman" w:eastAsia="Times New Roman" w:hAnsi="Times New Roman" w:cs="Times New Roman"/>
          <w:sz w:val="24"/>
          <w:szCs w:val="24"/>
        </w:rPr>
        <w:t>осуществлено формирование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D8F" w:rsidRPr="00DE6060">
        <w:rPr>
          <w:rFonts w:ascii="Times New Roman" w:eastAsia="Times New Roman" w:hAnsi="Times New Roman" w:cs="Times New Roman"/>
          <w:sz w:val="24"/>
          <w:szCs w:val="24"/>
        </w:rPr>
        <w:t xml:space="preserve">консолидированного информационного ресурса о наличии активностей 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>на официальном сайте Фонда</w:t>
      </w:r>
      <w:r w:rsidR="00172454" w:rsidRPr="00DE6060">
        <w:rPr>
          <w:rFonts w:ascii="Times New Roman" w:eastAsia="Times New Roman" w:hAnsi="Times New Roman" w:cs="Times New Roman"/>
          <w:sz w:val="24"/>
          <w:szCs w:val="24"/>
        </w:rPr>
        <w:t>, мессенджерах, социальных сетях</w:t>
      </w:r>
      <w:r w:rsidR="00362E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информационного раздела о проводимых мероприятиях </w:t>
      </w:r>
      <w:r w:rsidR="009D4EFD" w:rsidRPr="00DE6060">
        <w:rPr>
          <w:rFonts w:ascii="Times New Roman" w:eastAsia="Times New Roman" w:hAnsi="Times New Roman" w:cs="Times New Roman"/>
          <w:sz w:val="24"/>
          <w:szCs w:val="24"/>
        </w:rPr>
        <w:t>на площадках центров компетенций в области инноваций и промышленного производства – организаций, образующих инновационно-производственную инфраструктуру поддержки субъектов МСП, в том числе региональных инжиниринговых центров, центров сертификации, стандартизации и испытаний, центров прототипирования, центров кластерного развития, и т. д.</w:t>
      </w:r>
      <w:r w:rsidR="002C3D5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9D4EFD" w:rsidRPr="00DE6060" w:rsidRDefault="009D4EFD" w:rsidP="000F6F46">
      <w:pPr>
        <w:spacing w:before="120" w:after="120" w:line="7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B2930" w:rsidRPr="00DE6060" w:rsidRDefault="00AB2930" w:rsidP="00CD4CE9">
      <w:pPr>
        <w:numPr>
          <w:ilvl w:val="0"/>
          <w:numId w:val="22"/>
        </w:numPr>
        <w:tabs>
          <w:tab w:val="left" w:pos="1253"/>
        </w:tabs>
        <w:spacing w:after="0" w:line="22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целях оценки производственных возможностей МСП, готовых выступать поставщиками продукции для конкретных заказчиков, в регионах, преимущественно из числа пользователей и участников партнёров Фонда, Фонд </w:t>
      </w:r>
      <w:r w:rsidR="00172454" w:rsidRPr="00DE6060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D74FEF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реализацию </w:t>
      </w:r>
      <w:r w:rsidR="00172454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информационного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комплекса мероприятий на площадках центров компетенций по следующим направлениям:</w:t>
      </w:r>
    </w:p>
    <w:p w:rsidR="00AB2930" w:rsidRPr="00DE6060" w:rsidRDefault="00AB2930" w:rsidP="00CD4CE9">
      <w:pPr>
        <w:pStyle w:val="a4"/>
        <w:numPr>
          <w:ilvl w:val="0"/>
          <w:numId w:val="31"/>
        </w:numPr>
        <w:tabs>
          <w:tab w:val="left" w:pos="1253"/>
        </w:tabs>
        <w:spacing w:after="0" w:line="2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продвижение инвестиционных проектов региональных компаний или инициаторов/инвесторов региона на интерактивных площадках партнеров Фонда и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специализированных площадках,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созданных для целей развития Дальнего Востока и Байкальского региона, в т.ч. единой электронной торговой площадки;</w:t>
      </w:r>
    </w:p>
    <w:p w:rsidR="00362E37" w:rsidRPr="00DE6060" w:rsidRDefault="00362E37" w:rsidP="00CD4CE9">
      <w:pPr>
        <w:pStyle w:val="a4"/>
        <w:numPr>
          <w:ilvl w:val="0"/>
          <w:numId w:val="31"/>
        </w:numPr>
        <w:tabs>
          <w:tab w:val="left" w:pos="1253"/>
        </w:tabs>
        <w:spacing w:after="0" w:line="2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продвижение по региональным каналам связи и на сайте Фонда инвестиционной площадки «Восход» для целей популяризации реализуемых финансовых инструментов и притока инвестиций иностранных инвесторов;</w:t>
      </w:r>
    </w:p>
    <w:p w:rsidR="00362E37" w:rsidRPr="00DE6060" w:rsidRDefault="00362E37" w:rsidP="00CD4CE9">
      <w:pPr>
        <w:pStyle w:val="a4"/>
        <w:numPr>
          <w:ilvl w:val="0"/>
          <w:numId w:val="31"/>
        </w:numPr>
        <w:tabs>
          <w:tab w:val="left" w:pos="1253"/>
        </w:tabs>
        <w:spacing w:after="0" w:line="2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продвижение программ льготного финансирования и площадок для поиска инвесторов разного уровня, в т.ч. с применением российского и иностранного капитала институтов</w:t>
      </w:r>
      <w:r w:rsidR="00172454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работающих в рамках программы Правительства Российской Федерации нацеленной на опережающее развития Дальневосточного федерального округа;</w:t>
      </w:r>
    </w:p>
    <w:p w:rsidR="00362E37" w:rsidRPr="00DE6060" w:rsidRDefault="00362E37" w:rsidP="00CD4CE9">
      <w:pPr>
        <w:pStyle w:val="a4"/>
        <w:numPr>
          <w:ilvl w:val="0"/>
          <w:numId w:val="31"/>
        </w:numPr>
        <w:tabs>
          <w:tab w:val="left" w:pos="1253"/>
        </w:tabs>
        <w:spacing w:after="0" w:line="2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и продвижение </w:t>
      </w:r>
      <w:r w:rsidRPr="00DE6060">
        <w:rPr>
          <w:rFonts w:ascii="Times New Roman" w:hAnsi="Times New Roman" w:cs="Times New Roman"/>
          <w:sz w:val="24"/>
          <w:szCs w:val="24"/>
        </w:rPr>
        <w:t>электронной торговой площадки, организуемой для целей продвижения продукции/работ/услуг резидентов территорий опережающего развития и территорий свободного порта Владивосток в пределах Дальнего Востока и Байкальского региона;</w:t>
      </w:r>
    </w:p>
    <w:p w:rsidR="00362E37" w:rsidRPr="00DE6060" w:rsidRDefault="00172454" w:rsidP="00CD4CE9">
      <w:pPr>
        <w:pStyle w:val="a4"/>
        <w:numPr>
          <w:ilvl w:val="0"/>
          <w:numId w:val="31"/>
        </w:numPr>
        <w:tabs>
          <w:tab w:val="left" w:pos="1253"/>
        </w:tabs>
        <w:spacing w:after="0" w:line="2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hAnsi="Times New Roman" w:cs="Times New Roman"/>
          <w:sz w:val="24"/>
          <w:szCs w:val="24"/>
        </w:rPr>
        <w:t>создание</w:t>
      </w:r>
      <w:r w:rsidR="00362E37" w:rsidRPr="00DE6060">
        <w:rPr>
          <w:rFonts w:ascii="Times New Roman" w:hAnsi="Times New Roman" w:cs="Times New Roman"/>
          <w:sz w:val="24"/>
          <w:szCs w:val="24"/>
        </w:rPr>
        <w:t xml:space="preserve"> информационного поля</w:t>
      </w:r>
      <w:r w:rsidR="004A3F7D" w:rsidRPr="00DE6060">
        <w:rPr>
          <w:rFonts w:ascii="Times New Roman" w:hAnsi="Times New Roman" w:cs="Times New Roman"/>
          <w:sz w:val="24"/>
          <w:szCs w:val="24"/>
        </w:rPr>
        <w:t>,</w:t>
      </w:r>
      <w:r w:rsidR="00362E37" w:rsidRPr="00DE6060">
        <w:rPr>
          <w:rFonts w:ascii="Times New Roman" w:hAnsi="Times New Roman" w:cs="Times New Roman"/>
          <w:sz w:val="24"/>
          <w:szCs w:val="24"/>
        </w:rPr>
        <w:t xml:space="preserve"> направленного на формирование социально, экономически и инновационно перспективного образа Чукотского автономного округа</w:t>
      </w:r>
      <w:r w:rsidR="004A3F7D" w:rsidRPr="00DE6060">
        <w:rPr>
          <w:rFonts w:ascii="Times New Roman" w:hAnsi="Times New Roman" w:cs="Times New Roman"/>
          <w:sz w:val="24"/>
          <w:szCs w:val="24"/>
        </w:rPr>
        <w:t>,</w:t>
      </w:r>
      <w:r w:rsidR="00362E37" w:rsidRPr="00DE6060">
        <w:rPr>
          <w:rFonts w:ascii="Times New Roman" w:hAnsi="Times New Roman" w:cs="Times New Roman"/>
          <w:sz w:val="24"/>
          <w:szCs w:val="24"/>
        </w:rPr>
        <w:t xml:space="preserve"> посредством выстраивания системы взаимного обмена информацией. </w:t>
      </w:r>
    </w:p>
    <w:p w:rsidR="00826A23" w:rsidRPr="00DE6060" w:rsidRDefault="00362E37" w:rsidP="00B4758F">
      <w:pPr>
        <w:pStyle w:val="a4"/>
        <w:spacing w:after="0" w:line="22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в 2018-2019 годах обеспечи</w:t>
      </w:r>
      <w:r w:rsidR="00D74FEF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бизнеса с институтами развития, оказывающими поддержку инновационной деятельности, Фондом развития промышленности, Фондом содействия развитию малых форм предприятий в научно-технической сфере, Фондом</w:t>
      </w:r>
      <w:r w:rsidR="00B4758F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A23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инфраструктурных и образовательных программ, и другими институтами развития в части создания системы обмена информацией о перспективных инновационных проектах и координации действий по поддержке инновационных </w:t>
      </w:r>
      <w:r w:rsidR="008E63E8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предприятий, </w:t>
      </w:r>
      <w:r w:rsidR="00826A23" w:rsidRPr="00DE6060">
        <w:rPr>
          <w:rFonts w:ascii="Times New Roman" w:eastAsia="Times New Roman" w:hAnsi="Times New Roman" w:cs="Times New Roman"/>
          <w:sz w:val="24"/>
          <w:szCs w:val="24"/>
        </w:rPr>
        <w:t>малых и средних компаний.</w:t>
      </w:r>
    </w:p>
    <w:p w:rsidR="00826A23" w:rsidRPr="00DE6060" w:rsidRDefault="00826A23" w:rsidP="002E0631">
      <w:pPr>
        <w:spacing w:line="1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453" w:rsidRPr="00DE6060" w:rsidRDefault="00826A23" w:rsidP="00A22453">
      <w:pPr>
        <w:spacing w:line="23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в 2018 году в рамках точек соприкосновения с вектором развития АО «Корпорация развития МСП» сформир</w:t>
      </w:r>
      <w:r w:rsidR="00B37E88" w:rsidRPr="00DE6060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упрощенный механизм доступа субъектам малого предпринимательства к электронному каталогу услуг и оборудования, предоставляемых центрами компетенций субъектам МСП</w:t>
      </w:r>
      <w:r w:rsidR="00B37E88" w:rsidRPr="00DE6060">
        <w:rPr>
          <w:rFonts w:ascii="Times New Roman" w:eastAsia="Times New Roman" w:hAnsi="Times New Roman" w:cs="Times New Roman"/>
          <w:sz w:val="24"/>
          <w:szCs w:val="24"/>
        </w:rPr>
        <w:t>, посредством размещения постоянных ссылок на ресурсы партнёров на официальном сайте Фонда.</w:t>
      </w:r>
    </w:p>
    <w:p w:rsidR="008E63E8" w:rsidRPr="00DE6060" w:rsidRDefault="008E63E8" w:rsidP="008E63E8">
      <w:pPr>
        <w:spacing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29040E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доступа к перечню услуг Фонда, комплексных услуг «по типовым картам» субъектам МСП, в целях оказания им поддержки по принципу «одного окна», в том числе через МФЦ и в электронной форме</w:t>
      </w:r>
    </w:p>
    <w:p w:rsidR="00B4758F" w:rsidRPr="00DE6060" w:rsidRDefault="00B37E88" w:rsidP="00B4758F">
      <w:pPr>
        <w:spacing w:line="22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провел </w:t>
      </w:r>
      <w:r w:rsidR="008E63E8" w:rsidRPr="00DE6060">
        <w:rPr>
          <w:rFonts w:ascii="Times New Roman" w:eastAsia="Times New Roman" w:hAnsi="Times New Roman" w:cs="Times New Roman"/>
          <w:sz w:val="24"/>
          <w:szCs w:val="24"/>
        </w:rPr>
        <w:t>работу по выработке "типовых карт" бизнес-планирования для субъектов предпринимательства с учетом специфики Чукотского АО, выявленных лучших практик.</w:t>
      </w:r>
      <w:r w:rsidR="00B4758F" w:rsidRPr="00DE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38E" w:rsidRDefault="00B4758F" w:rsidP="0082738E">
      <w:pPr>
        <w:pBdr>
          <w:bottom w:val="single" w:sz="12" w:space="1" w:color="auto"/>
        </w:pBdr>
        <w:spacing w:line="22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Выработанные «типовые карты» размещены на официальном сайте Фонда и распространены посредством альтернативных коммуникаций СМИ, центрах МФЦ и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т.д.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A09" w:rsidRPr="00136DFA" w:rsidRDefault="002C3D51" w:rsidP="00D37A09">
      <w:pPr>
        <w:spacing w:line="23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softHyphen/>
      </w:r>
      <w:r w:rsidRPr="00136DFA">
        <w:rPr>
          <w:rFonts w:ascii="Times New Roman" w:eastAsia="Arial" w:hAnsi="Times New Roman" w:cs="Times New Roman"/>
          <w:sz w:val="20"/>
          <w:szCs w:val="20"/>
          <w:vertAlign w:val="superscript"/>
        </w:rPr>
        <w:t>4</w:t>
      </w:r>
      <w:r w:rsidR="00D37A09" w:rsidRPr="00136DFA">
        <w:rPr>
          <w:rFonts w:ascii="Times New Roman" w:eastAsia="Times New Roman CYR" w:hAnsi="Times New Roman" w:cs="Times New Roman"/>
          <w:sz w:val="20"/>
          <w:szCs w:val="20"/>
        </w:rPr>
        <w:t>В соответствии с приказом Минэкономразвития России от 2</w:t>
      </w:r>
      <w:r w:rsidR="00D37A09" w:rsidRPr="00136DFA">
        <w:rPr>
          <w:rFonts w:ascii="Times New Roman" w:eastAsia="Arial" w:hAnsi="Times New Roman" w:cs="Times New Roman"/>
          <w:sz w:val="20"/>
          <w:szCs w:val="20"/>
        </w:rPr>
        <w:t>5.03.</w:t>
      </w:r>
      <w:r w:rsidR="00D37A09" w:rsidRPr="00136DFA">
        <w:rPr>
          <w:rFonts w:ascii="Times New Roman" w:eastAsia="Times New Roman CYR" w:hAnsi="Times New Roman" w:cs="Times New Roman"/>
          <w:sz w:val="20"/>
          <w:szCs w:val="20"/>
        </w:rPr>
        <w:t>2015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МСП, включая крестьянские (фермерские) хозяйства, и требований к организациям, образующим инфраструктуру поддержки субъектов МСП» центр поддержки предпринимательства – юридическое лицо или структурное подразделение юридических лиц, которые относятся к инфраструктуре поддержки МСП и одним из учредителей которых является субъект Российской Федерации, для оказания комплекса информационно</w:t>
      </w:r>
      <w:r w:rsidR="00D37A09" w:rsidRPr="00136DFA">
        <w:rPr>
          <w:rFonts w:ascii="Times New Roman" w:eastAsia="Arial" w:hAnsi="Times New Roman" w:cs="Times New Roman"/>
          <w:sz w:val="20"/>
          <w:szCs w:val="20"/>
        </w:rPr>
        <w:t>-</w:t>
      </w:r>
      <w:r w:rsidR="00D37A09" w:rsidRPr="00136DFA">
        <w:rPr>
          <w:rFonts w:ascii="Times New Roman" w:eastAsia="Times New Roman CYR" w:hAnsi="Times New Roman" w:cs="Times New Roman"/>
          <w:sz w:val="20"/>
          <w:szCs w:val="20"/>
        </w:rPr>
        <w:t>консультационных услуг, направленных на содействие развитию субъектов МСП.</w:t>
      </w:r>
    </w:p>
    <w:p w:rsidR="00B079FE" w:rsidRPr="00DE6060" w:rsidRDefault="00B079FE" w:rsidP="00B079FE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осуществил публикацию на своем официальном сайте утвержденного АО «Федеральная корпорация развития МСП» перечня услуг, в который включены три информационные услуги по подбору </w:t>
      </w:r>
      <w:r w:rsidR="006C68B1">
        <w:rPr>
          <w:rFonts w:ascii="Times New Roman" w:eastAsia="Times New Roman" w:hAnsi="Times New Roman" w:cs="Times New Roman"/>
          <w:sz w:val="24"/>
          <w:szCs w:val="24"/>
        </w:rPr>
        <w:t>сведений субъектам МСП в рамках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– имущественной поддержки;</w:t>
      </w:r>
    </w:p>
    <w:p w:rsidR="00B079FE" w:rsidRPr="00DE6060" w:rsidRDefault="00B079FE" w:rsidP="00B079FE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финансовой поддержки;</w:t>
      </w:r>
    </w:p>
    <w:p w:rsidR="003B0F64" w:rsidRPr="00DE6060" w:rsidRDefault="003B0F64" w:rsidP="003B0F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участия субъектов МСП в закупках согласно Закону № 223-ФЗ. Фонд при</w:t>
      </w:r>
      <w:r w:rsidR="00B37E88" w:rsidRPr="00DE6060">
        <w:rPr>
          <w:rFonts w:ascii="Times New Roman" w:eastAsia="Times New Roman" w:hAnsi="Times New Roman" w:cs="Times New Roman"/>
          <w:sz w:val="24"/>
          <w:szCs w:val="24"/>
        </w:rPr>
        <w:t>нял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исчерпывающие меры для того, чтобы в 2017 году </w:t>
      </w:r>
      <w:r w:rsidR="00B37E88" w:rsidRPr="00DE6060">
        <w:rPr>
          <w:rFonts w:ascii="Times New Roman" w:eastAsia="Times New Roman" w:hAnsi="Times New Roman" w:cs="Times New Roman"/>
          <w:sz w:val="24"/>
          <w:szCs w:val="24"/>
        </w:rPr>
        <w:t xml:space="preserve">во всех подразделениях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МФЦ Чукотского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АО были представлены первые три услуги 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758F" w:rsidRPr="00DE6060" w:rsidRDefault="003B0F64" w:rsidP="00B4758F">
      <w:pPr>
        <w:tabs>
          <w:tab w:val="left" w:pos="2740"/>
          <w:tab w:val="left" w:pos="4100"/>
          <w:tab w:val="left" w:pos="6560"/>
          <w:tab w:val="left" w:pos="7660"/>
          <w:tab w:val="left" w:pos="8440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Перечень МФЦ и иных организаций, в части размещения информации об услугах Фонда, сформирова</w:t>
      </w:r>
      <w:r w:rsidR="00B37E88" w:rsidRPr="00DE606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закреп</w:t>
      </w:r>
      <w:r w:rsidR="00B37E88" w:rsidRPr="00DE6060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F7D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открытом доступе посредством сети интернет на официальном сайте Фонда и МФЦ. </w:t>
      </w:r>
    </w:p>
    <w:p w:rsidR="00B4758F" w:rsidRPr="00DE6060" w:rsidRDefault="00B4758F" w:rsidP="00B47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Для достижения консолидации оптимальных условий в «типовых решениях» для бизнеса, по итогам указанной работы в 2017 году Фонд осуществи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выявлению, сбору, систематизации и распространению информации о лучших практиках субъекта, органов местного самоуправления в рамках реализации мер по развитию МСП.</w:t>
      </w:r>
    </w:p>
    <w:p w:rsidR="004B2571" w:rsidRPr="00DE6060" w:rsidRDefault="006D3CC5" w:rsidP="002E0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Анализ лучших практик субъект</w:t>
      </w:r>
      <w:r w:rsidR="00A16FE5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органов местного самоуправления, а также лучших международных практик по вопросам обеспечения взаимодей</w:t>
      </w:r>
      <w:r w:rsidR="00CD0A9B" w:rsidRPr="00DE6060">
        <w:rPr>
          <w:rFonts w:ascii="Times New Roman" w:eastAsia="Times New Roman" w:hAnsi="Times New Roman" w:cs="Times New Roman"/>
          <w:sz w:val="24"/>
          <w:szCs w:val="24"/>
        </w:rPr>
        <w:t>ствия 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международных организаций и иностранных компаний, </w:t>
      </w:r>
      <w:r w:rsidR="00CD0A9B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направлял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D0A9B" w:rsidRPr="00DE6060">
        <w:rPr>
          <w:rFonts w:ascii="Times New Roman" w:eastAsia="Times New Roman" w:hAnsi="Times New Roman" w:cs="Times New Roman"/>
          <w:sz w:val="24"/>
          <w:szCs w:val="24"/>
        </w:rPr>
        <w:t>Управление экономики Департамента финансов, экономики и имущественных отношений Чукотского АО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>, а также размещал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</w:t>
      </w:r>
      <w:r w:rsidR="00CD0A9B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2571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571" w:rsidRPr="00DE6060" w:rsidRDefault="004B2571" w:rsidP="002E0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3E8" w:rsidRPr="00DE6060" w:rsidRDefault="008E63E8" w:rsidP="008E63E8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 при поддержке Правительства Чукотского АО и взаимодействии с партнёрами Фонда выработа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оптимальный перечень лучших практик и направи</w:t>
      </w:r>
      <w:r w:rsidR="009F7E16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целью их масштабирования в автономную некоммерческую организацию «Агентство стратегических инициатив по продвижению новых проектов» в 2017 году. Фонд предпри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>нял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максимальные усилия по реализации мероприятий, направленных на распространение указанных практик.</w:t>
      </w:r>
    </w:p>
    <w:p w:rsidR="008E63E8" w:rsidRPr="00DE6060" w:rsidRDefault="008E63E8" w:rsidP="00CE639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 итогам мониторинга внедрения лучших практик и анализа результативности указанных мероприятий в 2019 году Фонд 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осуществил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подготовку отчета о результатах своей деятельности и 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>намерен выработать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перечень рекомендуемых к внедрению </w:t>
      </w:r>
      <w:r w:rsidR="009F7E16" w:rsidRPr="00DE6060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="00427587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развития предпринимательства 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Чукотского АО.</w:t>
      </w:r>
    </w:p>
    <w:p w:rsidR="008E63E8" w:rsidRPr="00DE6060" w:rsidRDefault="008E63E8" w:rsidP="008E63E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36370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Организация поддержки в области бизнес-образования молодежи</w:t>
      </w:r>
    </w:p>
    <w:p w:rsidR="006D3CC5" w:rsidRPr="00DE6060" w:rsidRDefault="008E63E8" w:rsidP="00B3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Главным источником создания новых малых предприятий является предпринимательская активность молодежи. </w:t>
      </w:r>
    </w:p>
    <w:p w:rsidR="006D3CC5" w:rsidRPr="00DE6060" w:rsidRDefault="009246AD" w:rsidP="00AA62DA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2DA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2017-2019гг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удели</w:t>
      </w:r>
      <w:r w:rsidR="00AA62DA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повышенное внимание развитию непрерывного образования молодежи в целях формирования позитивного отношения к предпринимательству, основанного на полученных знаниях о возможностях открытия, роста своего дела и его поддержке со стороны государства.</w:t>
      </w:r>
    </w:p>
    <w:p w:rsidR="00AA62DA" w:rsidRPr="00DE6060" w:rsidRDefault="006D3CC5" w:rsidP="00AA62DA">
      <w:pPr>
        <w:numPr>
          <w:ilvl w:val="1"/>
          <w:numId w:val="23"/>
        </w:numPr>
        <w:tabs>
          <w:tab w:val="left" w:pos="1145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246AD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9246AD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совместно с 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региональными 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государственными институтами развития, общественными объединениями предпринимателей 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>региона</w:t>
      </w:r>
      <w:r w:rsidR="00234568" w:rsidRPr="00DE6060">
        <w:rPr>
          <w:rFonts w:ascii="Times New Roman" w:eastAsia="Times New Roman" w:hAnsi="Times New Roman" w:cs="Times New Roman"/>
          <w:sz w:val="24"/>
          <w:szCs w:val="24"/>
        </w:rPr>
        <w:t>, партнёрами Фонда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и ведущими бизнес-школами </w:t>
      </w:r>
      <w:r w:rsidR="00AA62DA" w:rsidRPr="00DE6060">
        <w:rPr>
          <w:rFonts w:ascii="Times New Roman" w:eastAsia="Times New Roman" w:hAnsi="Times New Roman" w:cs="Times New Roman"/>
          <w:sz w:val="24"/>
          <w:szCs w:val="24"/>
        </w:rPr>
        <w:t>страны принял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участие в реализации разработанных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концепци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проекта по обучению основам предпринимательства и развитию бизнеса субъектов МСП</w:t>
      </w:r>
      <w:r w:rsidR="00AA62DA"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370" w:rsidRPr="00DE6060" w:rsidRDefault="00AA62DA" w:rsidP="00AA62DA">
      <w:pPr>
        <w:tabs>
          <w:tab w:val="left" w:pos="1145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Одной из целевых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аудитори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плана мероприятий 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стали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учащиеся средних и старших классов школ, студенты образовательных учреждений профессионально-технической направленности, высших учебных заведений, которые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прошли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курсы на основе образовательных стандартов, разработанных 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АО «Корпорация развития МСП», а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базовых программах </w:t>
      </w:r>
      <w:proofErr w:type="spellStart"/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России, </w:t>
      </w:r>
      <w:r w:rsidR="001D7B2F"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Центрального банка РФ,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государственными институтами развития, 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общественными объединениями предпринимателей и ведущими бизнес-школами.</w:t>
      </w:r>
      <w:r w:rsidR="00B36370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812" w:rsidRPr="00DE6060" w:rsidRDefault="00343FCB" w:rsidP="002E063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рамках проекта отдельно 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="001D7B2F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принял участие 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>в созданных и реализуемых программах АО «Корпорация развития МСП</w:t>
      </w:r>
      <w:r w:rsidR="00F57D1C" w:rsidRPr="00DE606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5756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812" w:rsidRPr="00DE6060">
        <w:rPr>
          <w:rFonts w:ascii="Times New Roman" w:eastAsia="Times New Roman" w:hAnsi="Times New Roman" w:cs="Times New Roman"/>
          <w:sz w:val="24"/>
          <w:szCs w:val="24"/>
        </w:rPr>
        <w:t>для преподавательского состава, который в своей работе должен опираться на понимание практических аспектов предпринимательства и знания о созданной в России системе поддержки МСП, механизм</w:t>
      </w:r>
      <w:r w:rsidR="005B28F1" w:rsidRPr="00DE606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A281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информационного сопровождения системы непрерывного образования, широко</w:t>
      </w:r>
      <w:r w:rsidR="005B28F1" w:rsidRPr="00DE606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A281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</w:t>
      </w:r>
      <w:r w:rsidR="005B28F1" w:rsidRPr="00DE60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A281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образ</w:t>
      </w:r>
      <w:r w:rsidR="005B28F1" w:rsidRPr="00DE6060">
        <w:rPr>
          <w:rFonts w:ascii="Times New Roman" w:eastAsia="Times New Roman" w:hAnsi="Times New Roman" w:cs="Times New Roman"/>
          <w:sz w:val="24"/>
          <w:szCs w:val="24"/>
        </w:rPr>
        <w:t>овательных технологий и развития</w:t>
      </w:r>
      <w:r w:rsidR="000A2812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 дистанционного обучения.</w:t>
      </w:r>
    </w:p>
    <w:p w:rsidR="00967E51" w:rsidRPr="00DE6060" w:rsidRDefault="00967E51" w:rsidP="002E0631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4. Ресурсное</w:t>
      </w:r>
      <w:r w:rsidR="00AD5631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="00AD5631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Программы </w:t>
      </w:r>
      <w:r w:rsidR="00193A9D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 Фонда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2017-2019 годы</w:t>
      </w:r>
    </w:p>
    <w:p w:rsidR="00967E51" w:rsidRPr="00DE6060" w:rsidRDefault="00967E51" w:rsidP="002E0631">
      <w:pPr>
        <w:tabs>
          <w:tab w:val="left" w:pos="2740"/>
          <w:tab w:val="left" w:pos="40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4.1. Финансовая</w:t>
      </w:r>
      <w:r w:rsidR="00AD5631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</w:t>
      </w:r>
      <w:r w:rsidR="00AD5631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Программы деятельности Фонда на 2017-2019гг.</w:t>
      </w:r>
    </w:p>
    <w:p w:rsidR="006D3CC5" w:rsidRPr="00DE6060" w:rsidRDefault="00211CAA" w:rsidP="002E0631">
      <w:pPr>
        <w:tabs>
          <w:tab w:val="left" w:pos="1340"/>
          <w:tab w:val="left" w:pos="2360"/>
          <w:tab w:val="left" w:pos="4060"/>
          <w:tab w:val="left" w:pos="6120"/>
          <w:tab w:val="left" w:pos="8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3CC5" w:rsidRPr="00DE6060">
        <w:rPr>
          <w:rFonts w:ascii="Times New Roman" w:hAnsi="Times New Roman" w:cs="Times New Roman"/>
          <w:sz w:val="24"/>
          <w:szCs w:val="24"/>
        </w:rPr>
        <w:tab/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6D3CC5" w:rsidRPr="00DE6060">
        <w:rPr>
          <w:rFonts w:ascii="Times New Roman" w:hAnsi="Times New Roman" w:cs="Times New Roman"/>
          <w:sz w:val="24"/>
          <w:szCs w:val="24"/>
        </w:rPr>
        <w:tab/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6D3CC5" w:rsidRPr="00DE6060">
        <w:rPr>
          <w:rFonts w:ascii="Times New Roman" w:hAnsi="Times New Roman" w:cs="Times New Roman"/>
          <w:sz w:val="24"/>
          <w:szCs w:val="24"/>
        </w:rPr>
        <w:tab/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="006D3CC5" w:rsidRPr="00DE6060">
        <w:rPr>
          <w:rFonts w:ascii="Times New Roman" w:hAnsi="Times New Roman" w:cs="Times New Roman"/>
          <w:sz w:val="24"/>
          <w:szCs w:val="24"/>
        </w:rPr>
        <w:tab/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деятельности на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91A2B" w:rsidRPr="00DE6060">
        <w:rPr>
          <w:rFonts w:ascii="Times New Roman" w:eastAsia="Times New Roman" w:hAnsi="Times New Roman" w:cs="Times New Roman"/>
          <w:sz w:val="24"/>
          <w:szCs w:val="24"/>
        </w:rPr>
        <w:t xml:space="preserve">7-2019 годы Фонд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нуждается в финансовых ресурсах и долж</w:t>
      </w:r>
      <w:r w:rsidR="00291A2B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 стремиться к максимизации своих доходов, сдерживая рост расходов.</w:t>
      </w:r>
    </w:p>
    <w:p w:rsidR="006D3CC5" w:rsidRPr="00DE6060" w:rsidRDefault="00291A2B" w:rsidP="002E0631">
      <w:pPr>
        <w:spacing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Доходы в 2017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годах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получи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из:</w:t>
      </w:r>
    </w:p>
    <w:p w:rsidR="006D3CC5" w:rsidRPr="00DE6060" w:rsidRDefault="006D3CC5" w:rsidP="002E0631">
      <w:pPr>
        <w:spacing w:line="9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C84" w:rsidRPr="00DE6060" w:rsidRDefault="006D3CC5" w:rsidP="002E0631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27C84" w:rsidRPr="00DE6060">
        <w:rPr>
          <w:rFonts w:ascii="Times New Roman" w:eastAsia="Times New Roman" w:hAnsi="Times New Roman" w:cs="Times New Roman"/>
          <w:sz w:val="24"/>
          <w:szCs w:val="24"/>
        </w:rPr>
        <w:t>субсидий, направленных на формирование имущественного взноса для целей обеспечения основной деятельности Фонда, за счет средств бюджета Чукотского автономного округа;</w:t>
      </w:r>
    </w:p>
    <w:p w:rsidR="00127C84" w:rsidRPr="00DE6060" w:rsidRDefault="00127C84" w:rsidP="00127C84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субсидий, направленных на формирование гарантийного капитала Фонда для целей обеспечения деятельности в качестве региональной гарантийной организации, за счет средств бюджета Чукотского автономного округа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, сверх запланированного Программой, за счет средств федерального бюджета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C84" w:rsidRPr="00DE6060" w:rsidRDefault="00127C84" w:rsidP="00127C84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финансирования третьих лиц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, по мере необходимости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направленных на формирование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Фонда для целей обеспечения деятельности в качестве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регионального института развития экономики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за счет третьих лиц</w:t>
      </w:r>
      <w:r w:rsidR="00D62A6E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заинтересованных в развитии МСП на территории Чукотского автономного округа;</w:t>
      </w:r>
    </w:p>
    <w:p w:rsidR="006D3CC5" w:rsidRPr="00DE6060" w:rsidRDefault="00127C84" w:rsidP="002E0631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комиссионного дохода по предоставленным гарантиям и поручительствам;</w:t>
      </w: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дохода </w:t>
      </w:r>
      <w:r w:rsidR="003306E6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размещения денежных средств в депозиты. При определении и разработ</w:t>
      </w:r>
      <w:r w:rsidR="00291A2B" w:rsidRPr="00DE6060">
        <w:rPr>
          <w:rFonts w:ascii="Times New Roman" w:eastAsia="Times New Roman" w:hAnsi="Times New Roman" w:cs="Times New Roman"/>
          <w:sz w:val="24"/>
          <w:szCs w:val="24"/>
        </w:rPr>
        <w:t>ке иных источников доходов для 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базовым условием ста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ло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отсутствие платы (либо ее минимизация) за пользование нефинасовыми мерами поддержки </w:t>
      </w:r>
      <w:r w:rsidR="00E403D0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14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закупок для нужд </w:t>
      </w:r>
      <w:r w:rsidR="00291A2B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производи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лось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сметных лимитов, утвержденных Советом </w:t>
      </w:r>
      <w:r w:rsidR="00291A2B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tabs>
          <w:tab w:val="left" w:pos="2820"/>
          <w:tab w:val="left" w:pos="3580"/>
          <w:tab w:val="left" w:pos="4940"/>
          <w:tab w:val="left" w:pos="6860"/>
          <w:tab w:val="left" w:pos="8120"/>
        </w:tabs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Среднегодовой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снижения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операционных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, на который ориентировался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3FA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737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>плановом периоде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, составлял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не менее 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>0,1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% за счет следующих мер:</w:t>
      </w:r>
    </w:p>
    <w:p w:rsidR="00570E9D" w:rsidRPr="00DE6060" w:rsidRDefault="006D3CC5" w:rsidP="00454129">
      <w:pPr>
        <w:spacing w:after="12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регулярная оптимизация потребностей Фонда с учетом планирования соотношения потребности в эффективных ресурсах и ежегодного роста цен на потребляемые товары и услуги, а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70E9D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учетом инфляции;</w:t>
      </w:r>
    </w:p>
    <w:p w:rsidR="006D3CC5" w:rsidRPr="00DE6060" w:rsidRDefault="00570E9D" w:rsidP="00454129">
      <w:pPr>
        <w:spacing w:after="12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оптимально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потребностей </w:t>
      </w:r>
      <w:r w:rsidR="002F23FA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с задачами, установленными Программой деятельности </w:t>
      </w:r>
      <w:r w:rsidR="002F23FA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2F23FA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F23FA"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годы (далее – Программа);</w:t>
      </w:r>
    </w:p>
    <w:p w:rsidR="006D3CC5" w:rsidRPr="00DE6060" w:rsidRDefault="006D3CC5" w:rsidP="00454129">
      <w:pPr>
        <w:spacing w:after="120" w:line="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454129">
      <w:pPr>
        <w:spacing w:after="12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осуществление закупок </w:t>
      </w:r>
      <w:r w:rsidR="002F23FA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008744DD" w:rsidRPr="00DE6060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конкурентных </w:t>
      </w:r>
      <w:r w:rsidR="008744DD" w:rsidRPr="00DE6060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7A4C" w:rsidRPr="00DE6060" w:rsidRDefault="006D3CC5" w:rsidP="00454129">
      <w:pPr>
        <w:spacing w:after="12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соблюдение нормативов командировочных расходов (затраты на проживание, ограничение использования авиаперелетов бизнес-классом);</w:t>
      </w:r>
    </w:p>
    <w:p w:rsidR="006D3CC5" w:rsidRPr="00DE6060" w:rsidRDefault="006D3CC5" w:rsidP="00454129">
      <w:pPr>
        <w:spacing w:after="12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оптимальное планирование графика и маршрутов командировок;</w:t>
      </w:r>
    </w:p>
    <w:p w:rsidR="006D3CC5" w:rsidRPr="00DE6060" w:rsidRDefault="006D3CC5" w:rsidP="00454129">
      <w:pPr>
        <w:spacing w:after="120" w:line="23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минимизация складских запасов расходных материалов для нужд </w:t>
      </w:r>
      <w:r w:rsidR="002F23FA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8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4E1DF6" w:rsidRPr="00DE6060" w:rsidRDefault="004E1DF6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4.1.1. Годовой объем поручительств и (или) независимых гарантий (план):</w:t>
      </w:r>
    </w:p>
    <w:p w:rsidR="004E1DF6" w:rsidRPr="00DE6060" w:rsidRDefault="004E1DF6" w:rsidP="006F1A2F">
      <w:pPr>
        <w:spacing w:before="120" w:after="100" w:afterAutospacing="1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Выдача поручительств Фондом субъектам малого и среднего предпринимательства по кредитам в коммерческих банках-партнёрах </w:t>
      </w:r>
      <w:r w:rsidR="003306E6" w:rsidRPr="00DE6060">
        <w:rPr>
          <w:rFonts w:ascii="Times New Roman" w:eastAsia="Times New Roman" w:hAnsi="Times New Roman" w:cs="Times New Roman"/>
          <w:sz w:val="24"/>
          <w:szCs w:val="24"/>
        </w:rPr>
        <w:t>осуществляла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306E6" w:rsidRPr="00DE6060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на регулярной основе. Ключевой показатель эффективности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выдержан в рамках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запланированного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объемах:</w:t>
      </w:r>
    </w:p>
    <w:p w:rsidR="004E1DF6" w:rsidRPr="00DE6060" w:rsidRDefault="004E1DF6" w:rsidP="006F1A2F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тыс.руб., 2018 год - 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тыс.руб., 2019 год - 50 000 тыс.руб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B98" w:rsidRPr="00DE6060" w:rsidRDefault="00193B98" w:rsidP="006F1A2F">
      <w:pPr>
        <w:spacing w:before="120" w:after="100" w:afterAutospacing="1" w:line="23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4.1.2. Годовой объем привлеченного финансирования СМСП и организациями инфраструктуры поддержки с помощью поручительства и (или) независимой гарантии РГО (план):</w:t>
      </w:r>
    </w:p>
    <w:p w:rsidR="00193B98" w:rsidRPr="00DE6060" w:rsidRDefault="00193B98" w:rsidP="00193B98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Ключевой показатель эффективности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выполнен, </w:t>
      </w:r>
      <w:proofErr w:type="gramStart"/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в рамках</w:t>
      </w:r>
      <w:proofErr w:type="gramEnd"/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приближенных к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запланирован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ному,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объемах:</w:t>
      </w:r>
    </w:p>
    <w:p w:rsidR="00193B98" w:rsidRPr="00DE6060" w:rsidRDefault="00193B98" w:rsidP="00193B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тыс.руб., </w:t>
      </w:r>
      <w:r w:rsidR="006F1A2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- 48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тыс.руб., 2019 год - </w:t>
      </w:r>
      <w:r w:rsidR="004A6571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398 474,21 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:rsidR="004E1DF6" w:rsidRPr="00DE6060" w:rsidRDefault="004E1DF6" w:rsidP="004E1D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A2F" w:rsidRPr="00DE6060" w:rsidRDefault="006F1A2F" w:rsidP="006F1A2F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4.1.3. Плановые значения отношения действующих поручительств и (или) независимых гарантий к сумме гарантийного капитала на период планирования 2017-2019гг:</w:t>
      </w:r>
    </w:p>
    <w:p w:rsidR="006F1A2F" w:rsidRPr="00DE6060" w:rsidRDefault="006F1A2F" w:rsidP="006F1A2F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Критерий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определяющий эффективность использования сформированного гарантийного капитала — это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отношение </w:t>
      </w:r>
      <w:r w:rsidR="00406209" w:rsidRPr="00DE6060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поручительств и (или) независимых гарантий к сумме гарантийного капитала. Ключевой коэффициент, отражающий эффективность, запланирован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 xml:space="preserve">и выполнен частично,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 следующих объемах:</w:t>
      </w:r>
    </w:p>
    <w:p w:rsidR="006F1A2F" w:rsidRPr="00DE6060" w:rsidRDefault="00C31D62" w:rsidP="006F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План: </w:t>
      </w:r>
      <w:r w:rsidR="006F1A2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1A2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-0,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F1A2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2018 год – 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1A2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F1A2F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; 2019 год – 1,50.</w:t>
      </w:r>
    </w:p>
    <w:p w:rsidR="00C31D62" w:rsidRPr="00DE6060" w:rsidRDefault="00C31D62" w:rsidP="006F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Факт: 2017 год -0,08; 2018 год – 0</w:t>
      </w:r>
      <w:r w:rsidR="00E9465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,51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2019 год – </w:t>
      </w:r>
      <w:r w:rsidR="00E9465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465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AE8" w:rsidRPr="00DE6060" w:rsidRDefault="00C72AE8" w:rsidP="006F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E8" w:rsidRPr="00DE6060" w:rsidRDefault="00C72AE8" w:rsidP="006F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E8" w:rsidRPr="00DE6060" w:rsidRDefault="00C72AE8" w:rsidP="00C72AE8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4.1.4. Плановые значения </w:t>
      </w:r>
      <w:r w:rsidR="000D3B9D" w:rsidRPr="00DE6060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результата от операционной и финансовой деятельности за год по основному виду деятельности Фонда в качестве РГО </w:t>
      </w:r>
      <w:r w:rsidRPr="00DE6060">
        <w:rPr>
          <w:rFonts w:ascii="Times New Roman" w:eastAsia="Times New Roman" w:hAnsi="Times New Roman" w:cs="Times New Roman"/>
          <w:b/>
          <w:sz w:val="24"/>
          <w:szCs w:val="24"/>
        </w:rPr>
        <w:t>на период планирования 2017-2019гг:</w:t>
      </w:r>
    </w:p>
    <w:p w:rsidR="00C72AE8" w:rsidRPr="00DE6060" w:rsidRDefault="000D3B9D" w:rsidP="00C72AE8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Результат от операционной и финансовой деятельности за год по деятельности Фонда в качестве РГО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 xml:space="preserve">выполнен в рамках 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</w:rPr>
        <w:t>запланирован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ного значения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объемах:</w:t>
      </w:r>
    </w:p>
    <w:p w:rsidR="008D6300" w:rsidRPr="00DE6060" w:rsidRDefault="008D6300" w:rsidP="006F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План: 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 </w:t>
      </w:r>
      <w:r w:rsidR="00F959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D3B9D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9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816 тыс.руб.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; 2018 год –</w:t>
      </w:r>
      <w:r w:rsidR="00F959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890 тыс.руб.</w:t>
      </w:r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; 2019 год –</w:t>
      </w:r>
      <w:r w:rsidR="00F959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1 000 </w:t>
      </w:r>
      <w:proofErr w:type="spellStart"/>
      <w:r w:rsidR="00F959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C72AE8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AE8" w:rsidRPr="00DE6060" w:rsidRDefault="008D6300" w:rsidP="006F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Факт: </w:t>
      </w:r>
      <w:r w:rsidR="00E538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2017г 815,7 </w:t>
      </w:r>
      <w:proofErr w:type="spellStart"/>
      <w:r w:rsidR="00E538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E538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6C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2018г 897,9 </w:t>
      </w:r>
      <w:proofErr w:type="spellStart"/>
      <w:r w:rsidR="006C68B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6C6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E538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2019г 2083,04 </w:t>
      </w:r>
      <w:proofErr w:type="spellStart"/>
      <w:r w:rsidR="00E538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E538E9" w:rsidRPr="00DE6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AE8" w:rsidRPr="00DE6060" w:rsidRDefault="00C72AE8" w:rsidP="006F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C5" w:rsidRPr="00DE6060" w:rsidRDefault="006D3CC5" w:rsidP="002E0631">
      <w:pPr>
        <w:spacing w:line="23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4.2. Развитие основных направлений деятельности в области управления персоналом</w:t>
      </w:r>
    </w:p>
    <w:p w:rsidR="006D3CC5" w:rsidRPr="00DE6060" w:rsidRDefault="008744DD" w:rsidP="002E0631">
      <w:pPr>
        <w:tabs>
          <w:tab w:val="left" w:pos="454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целях обеспечения текущей деятельности </w:t>
      </w:r>
      <w:r w:rsidR="00933906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учетом новых направлений его деятельности, установленных Законом № 7-ФЗ, Закона № 209-ФЗ и вносимых в него периодически поправок, определяющих статус, цели деятельности (задачи) и функции Фонда, дальнейшая работа Фонда в области управления персоналом направлена на создание эффективной организационной структуры с прозрачной и понятной</w:t>
      </w:r>
      <w:r w:rsidR="00485279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системой корпоративного управления, отвечающей современным требованиям и предоставляющей возможности для максимального раскрытия потенциала персонала.</w:t>
      </w:r>
    </w:p>
    <w:p w:rsidR="006D3CC5" w:rsidRPr="00DE6060" w:rsidRDefault="006D3CC5" w:rsidP="002E0631">
      <w:pPr>
        <w:spacing w:line="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933906" w:rsidP="002E0631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обеспечи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единых принципов и подходов в работе с персоналом.</w:t>
      </w:r>
    </w:p>
    <w:p w:rsidR="006D3CC5" w:rsidRPr="00DE6060" w:rsidRDefault="006D3CC5" w:rsidP="002E0631">
      <w:pPr>
        <w:spacing w:line="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031630" w:rsidP="002E0631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Проводилась систематически запланированная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работа 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трем взаимосвязанным направлениям:</w:t>
      </w:r>
    </w:p>
    <w:p w:rsidR="006D3CC5" w:rsidRPr="00DE6060" w:rsidRDefault="006D3CC5" w:rsidP="002E0631">
      <w:pPr>
        <w:spacing w:line="9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343D5B">
      <w:pPr>
        <w:spacing w:after="0" w:line="233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привлечение в 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высокопрофессиональных работников и обеспечение эффективного использования их возможностей и потенциала;</w:t>
      </w:r>
    </w:p>
    <w:p w:rsidR="006D3CC5" w:rsidRPr="00DE6060" w:rsidRDefault="006D3CC5" w:rsidP="00343D5B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обучение и развитие персонала;</w:t>
      </w:r>
    </w:p>
    <w:p w:rsidR="006D3CC5" w:rsidRPr="00DE6060" w:rsidRDefault="006D3CC5" w:rsidP="00343D5B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создание эффективной системы мотивации.</w:t>
      </w:r>
    </w:p>
    <w:p w:rsidR="006D3CC5" w:rsidRPr="00DE6060" w:rsidRDefault="006D3CC5" w:rsidP="00343D5B">
      <w:pPr>
        <w:spacing w:after="0" w:line="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343D5B">
      <w:pPr>
        <w:spacing w:after="0" w:line="233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задач в области управления персоналом 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CC5" w:rsidRPr="00DE6060" w:rsidRDefault="006D3CC5" w:rsidP="00343D5B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регулярн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оценк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работы имеющегося персонала;</w:t>
      </w:r>
    </w:p>
    <w:p w:rsidR="006D3CC5" w:rsidRPr="00DE6060" w:rsidRDefault="006D3CC5" w:rsidP="00343D5B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мониторинг тенденций на рынке труда;</w:t>
      </w:r>
    </w:p>
    <w:p w:rsidR="006D3CC5" w:rsidRPr="00DE6060" w:rsidRDefault="006D3CC5" w:rsidP="00343D5B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проводи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мероприятия для ускоренной адаптации вновь принятых работников;</w:t>
      </w:r>
    </w:p>
    <w:p w:rsidR="006D3CC5" w:rsidRPr="00DE6060" w:rsidRDefault="006D3CC5" w:rsidP="00343D5B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формиро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ва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кадровый резерв 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031630" w:rsidP="00343D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создана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обучения и развития 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>персонала, скоординированная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системой мотивации.</w:t>
      </w:r>
      <w:r w:rsidR="004B795F" w:rsidRPr="00DE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возникновения несчастных случаев при исполнении работниками трудовых обязанностей, профессиональных заболеваний работников 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обеспечи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комплекс профилактических мероприятий, направленных на сокращение риска </w:t>
      </w:r>
      <w:r w:rsidR="004B795F" w:rsidRPr="00DE6060">
        <w:rPr>
          <w:rFonts w:ascii="Times New Roman" w:eastAsia="Times New Roman" w:hAnsi="Times New Roman" w:cs="Times New Roman"/>
          <w:sz w:val="24"/>
          <w:szCs w:val="24"/>
        </w:rPr>
        <w:t>повреждения здор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>овья работников, совершенствовалась действующая система</w:t>
      </w:r>
      <w:r w:rsidR="004B795F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охраной труда.</w:t>
      </w:r>
    </w:p>
    <w:p w:rsidR="006D3CC5" w:rsidRPr="00DE6060" w:rsidRDefault="00193A9D" w:rsidP="002E0631">
      <w:pPr>
        <w:spacing w:line="2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 целях стимулирования работников Фонда на достижение</w:t>
      </w:r>
      <w:r w:rsidR="00027736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онечного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 xml:space="preserve"> целевыми и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ндикаторами,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установленными Программой,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введена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система стимулирования работников, в соответствии с которой вознаграждение работникам </w:t>
      </w:r>
      <w:r w:rsidR="0008329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определя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тся в тесной взаимоувязке с результатами выполнения всех мероприятий Программы.</w:t>
      </w:r>
    </w:p>
    <w:p w:rsidR="006D3CC5" w:rsidRPr="00DE6060" w:rsidRDefault="006D3CC5" w:rsidP="00CD4CE9">
      <w:pPr>
        <w:numPr>
          <w:ilvl w:val="0"/>
          <w:numId w:val="24"/>
        </w:numPr>
        <w:tabs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рисками при реализации Программы</w:t>
      </w:r>
    </w:p>
    <w:p w:rsidR="006D3CC5" w:rsidRPr="00DE6060" w:rsidRDefault="006D3CC5" w:rsidP="002E0631">
      <w:pPr>
        <w:spacing w:line="251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25"/>
        </w:numPr>
        <w:tabs>
          <w:tab w:val="left" w:pos="1210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целях эффективной реализации Программы 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комплексн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управления рисками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(далее – СУР).</w:t>
      </w:r>
    </w:p>
    <w:p w:rsidR="006D3CC5" w:rsidRPr="00DE6060" w:rsidRDefault="006D3CC5" w:rsidP="002E0631">
      <w:pPr>
        <w:spacing w:line="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Функционирование СУР обеспечи</w:t>
      </w:r>
      <w:r w:rsidR="00031630" w:rsidRPr="00DE6060">
        <w:rPr>
          <w:rFonts w:ascii="Times New Roman" w:eastAsia="Times New Roman" w:hAnsi="Times New Roman" w:cs="Times New Roman"/>
          <w:sz w:val="24"/>
          <w:szCs w:val="24"/>
        </w:rPr>
        <w:t>вает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оценку, управление и в конечном итоге минимизацию рисков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Фонда, в т.ч. при 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 xml:space="preserve">механизмов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НГС в целом. Построение СУР направлено на решение следующих задач: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выполнение миссии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 сохранении финансовой устойчивости и способности своевременно исполнять принятые на себя обязательства;</w:t>
      </w:r>
    </w:p>
    <w:p w:rsidR="006D3CC5" w:rsidRPr="00DE6060" w:rsidRDefault="006D3CC5" w:rsidP="002E0631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ограничение рисков, принимаемых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аффилированными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в том числе в рамках НГС;</w:t>
      </w:r>
    </w:p>
    <w:p w:rsidR="006D3CC5" w:rsidRPr="00DE6060" w:rsidRDefault="006D3CC5" w:rsidP="006E2AE4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эффективное управление капиталом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аффилированных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EC2" w:rsidRPr="00DE606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организаций;</w:t>
      </w:r>
    </w:p>
    <w:p w:rsidR="004B2571" w:rsidRPr="00DE6060" w:rsidRDefault="006D3CC5" w:rsidP="006E2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эффективности текущей финансово-хозяйственной деятельности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сохранность активов;</w:t>
      </w:r>
      <w:r w:rsidR="004B2571" w:rsidRPr="00DE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EC2" w:rsidRPr="00DE6060" w:rsidRDefault="005A2EC2" w:rsidP="006E2AE4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соответствие деятельности Фонда применимым законодательным требованиям и требованиям локальных нормативных актов, </w:t>
      </w:r>
      <w:r w:rsidR="00AD7247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том числе требованиям экономической, экологической, информационной и личной безопасности (комплаенс-риск);</w:t>
      </w:r>
    </w:p>
    <w:p w:rsidR="005A2EC2" w:rsidRPr="00DE6060" w:rsidRDefault="005A2EC2" w:rsidP="006E2AE4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обеспечение достоверности финансовой, бухгалтерской и управленческой отчетности.</w:t>
      </w:r>
    </w:p>
    <w:p w:rsidR="0095395F" w:rsidRPr="00DE6060" w:rsidRDefault="00193A9D" w:rsidP="006E2A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К основным рискам, присущим деятельности Фонда, относятся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5395F" w:rsidRPr="00DE6060" w:rsidRDefault="006D3CC5" w:rsidP="00CD4CE9">
      <w:pPr>
        <w:pStyle w:val="a4"/>
        <w:numPr>
          <w:ilvl w:val="0"/>
          <w:numId w:val="5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кредитный,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95F" w:rsidRPr="00DE6060" w:rsidRDefault="006D3CC5" w:rsidP="00CD4CE9">
      <w:pPr>
        <w:pStyle w:val="a4"/>
        <w:numPr>
          <w:ilvl w:val="0"/>
          <w:numId w:val="5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операционный, </w:t>
      </w:r>
    </w:p>
    <w:p w:rsidR="0095395F" w:rsidRPr="00DE6060" w:rsidRDefault="006D3CC5" w:rsidP="00CD4CE9">
      <w:pPr>
        <w:pStyle w:val="a4"/>
        <w:numPr>
          <w:ilvl w:val="0"/>
          <w:numId w:val="5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правовой </w:t>
      </w:r>
    </w:p>
    <w:p w:rsidR="0095395F" w:rsidRPr="00DE6060" w:rsidRDefault="006D3CC5" w:rsidP="00CD4CE9">
      <w:pPr>
        <w:pStyle w:val="a4"/>
        <w:numPr>
          <w:ilvl w:val="0"/>
          <w:numId w:val="5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репутационный риск. </w:t>
      </w:r>
    </w:p>
    <w:p w:rsidR="006D3CC5" w:rsidRPr="00DE6060" w:rsidRDefault="006D3CC5" w:rsidP="002E06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Для управления вышеуказанными рисками использова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следующие инструменты:</w:t>
      </w:r>
    </w:p>
    <w:p w:rsidR="0095395F" w:rsidRPr="00DE6060" w:rsidRDefault="006D3CC5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установление единых подходов к оценке, принятию и мониторингу рисков для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="0095395F"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аффилированных с ним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организаций; </w:t>
      </w:r>
    </w:p>
    <w:p w:rsidR="006D3CC5" w:rsidRPr="00DE6060" w:rsidRDefault="0095395F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интеграция систем управления рисками аффилированных с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в единую систему управления рисками;</w:t>
      </w:r>
    </w:p>
    <w:p w:rsidR="006D3CC5" w:rsidRPr="00DE6060" w:rsidRDefault="006D3CC5" w:rsidP="002E0631">
      <w:pPr>
        <w:spacing w:line="11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6E2AE4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разработка, утверждение и своевременная адаптация необходимых внутренних нормативных документов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6E2AE4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связь с процессами планирования и принятия решений путем учета факторов риска на протяжении всего процесса стратегического и бизнес-планирования, с регулярной переоценкой рисков в целях учета переоценки в процессе планирования;</w:t>
      </w:r>
    </w:p>
    <w:p w:rsidR="00CE45DE" w:rsidRPr="00DE6060" w:rsidRDefault="006D3CC5" w:rsidP="006E2A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подготовка и обсуждение</w:t>
      </w:r>
      <w:r w:rsidR="00DD39DC" w:rsidRPr="00DE6060">
        <w:rPr>
          <w:rFonts w:ascii="Times New Roman" w:eastAsia="Times New Roman" w:hAnsi="Times New Roman" w:cs="Times New Roman"/>
          <w:sz w:val="24"/>
          <w:szCs w:val="24"/>
        </w:rPr>
        <w:t>, в случае признания их значимыми,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соответствующих коллегиальных органах регулярных отчетов по рискам, содержащих среди прочего общий обзор принятых рисков в сравнении с плановыми значениями;</w:t>
      </w:r>
      <w:r w:rsidR="00CE45DE" w:rsidRPr="00DE6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создание системы информационного обеспечения процесса управления рисками, гарантирующей поступление своевременной и достаточной информации о принятых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рисках;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формирование организационной структуры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учетом требований по отсутствию конфликта интересов и независимости структурных подразделений, осуществляющих анализ, оценку и контроль рисков, от структурных подразделений, инициирующих операции, подверженные рискам.</w:t>
      </w:r>
    </w:p>
    <w:p w:rsidR="006D3CC5" w:rsidRPr="00DE6060" w:rsidRDefault="006D3CC5" w:rsidP="002E0631">
      <w:pPr>
        <w:spacing w:line="17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 xml:space="preserve">осуществлены следующие мероприятия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году:</w:t>
      </w: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а) в целях управления рисками, возникающими при предоставлении гарантий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заявкам, полученным от субъектов МСП, в I квартале 201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7 г. 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разработа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методологию оценки риска и оперограммы процесса предоставления </w:t>
      </w:r>
      <w:r w:rsidR="005A40E8" w:rsidRPr="00DE6060">
        <w:rPr>
          <w:rFonts w:ascii="Times New Roman" w:eastAsia="Times New Roman" w:hAnsi="Times New Roman" w:cs="Times New Roman"/>
          <w:sz w:val="24"/>
          <w:szCs w:val="24"/>
        </w:rPr>
        <w:t>поручительств/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гарантий, решения по которым принимается без участия банков-партнеров. Результатом разработанной методологии ста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утвержденные соответствующими коллегиальными органами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внутренние нормативные документы, регламентирующие порядок взаимодействия структурных подразделений при рассмотрении заявок на предоставление гарантий, полученных от субъектов МСП, и внедрение нового для </w:t>
      </w:r>
      <w:r w:rsidR="00D86128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процесса рассмотрения данных заявок в соответствии с вышеуказанными регламентами;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б) в целях унификации подходов к управлению рисками, применяющихся в НГС, во II квартале 201</w:t>
      </w:r>
      <w:r w:rsidR="0059128C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59128C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разработал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единые требования к управлению рисками </w:t>
      </w:r>
      <w:r w:rsidR="0059128C" w:rsidRPr="00DE6060">
        <w:rPr>
          <w:rFonts w:ascii="Times New Roman" w:eastAsia="Times New Roman" w:hAnsi="Times New Roman" w:cs="Times New Roman"/>
          <w:sz w:val="24"/>
          <w:szCs w:val="24"/>
        </w:rPr>
        <w:t>с учетом реализации</w:t>
      </w:r>
      <w:r w:rsidR="00E47CBA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общепринятых на территории РФ</w:t>
      </w:r>
      <w:r w:rsidR="0059128C" w:rsidRPr="00DE6060">
        <w:rPr>
          <w:rFonts w:ascii="Times New Roman" w:eastAsia="Times New Roman" w:hAnsi="Times New Roman" w:cs="Times New Roman"/>
          <w:sz w:val="24"/>
          <w:szCs w:val="24"/>
        </w:rPr>
        <w:t xml:space="preserve"> механизмов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НГС (далее – Требования), утверди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документ, описывающий подходы к управлению рисками;</w:t>
      </w: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в) в целях практического применения Требований в части управления кред</w:t>
      </w:r>
      <w:r w:rsidR="00101697" w:rsidRPr="00DE6060">
        <w:rPr>
          <w:rFonts w:ascii="Times New Roman" w:eastAsia="Times New Roman" w:hAnsi="Times New Roman" w:cs="Times New Roman"/>
          <w:sz w:val="24"/>
          <w:szCs w:val="24"/>
        </w:rPr>
        <w:t>итным риском в III квартале 2017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="00101697" w:rsidRPr="00DE6060">
        <w:rPr>
          <w:rFonts w:ascii="Times New Roman" w:eastAsia="Times New Roman" w:hAnsi="Times New Roman" w:cs="Times New Roman"/>
          <w:sz w:val="24"/>
          <w:szCs w:val="24"/>
        </w:rPr>
        <w:t>Фонде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утверждены или модифицированы соответствующие внутренние нормативные документы и внедрены механизмы оценки риска в соответствии с вышеуказанными нормативными документами;</w:t>
      </w: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г) в целях формирования необходимой отчетности по рискам и накопления статистики, необходимой для разработки и валидации моделей внутренних кредитных рейтингов/скориновых моделей </w:t>
      </w:r>
      <w:r w:rsidR="00A272E6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использование которых будет предусмотрено Требованиями, во втором полугодии 201</w:t>
      </w:r>
      <w:r w:rsidR="00A272E6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 разработаны требования к ИТ-инфраструктуре </w:t>
      </w:r>
      <w:r w:rsidR="00A272E6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 целях разработки и внедрения целостной системы отчетности управления рисками;</w:t>
      </w: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д) в целях совершенствования внутренних процессов </w:t>
      </w:r>
      <w:r w:rsidR="008A6631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обеспечивающих разумную степень уверенности в адекватности передаваемых банками-партнерами в </w:t>
      </w:r>
      <w:r w:rsidR="008A6631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данных об уровне риска направляемых на рассмотрение гарантий, во II квартале 201</w:t>
      </w:r>
      <w:r w:rsidR="008A6631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г. подготовлена нормативная база, регулирующая взаимодействие с банками, в том числе в части фиксации ожидаемого уровня возможных потерь;</w:t>
      </w:r>
    </w:p>
    <w:p w:rsidR="006D3CC5" w:rsidRPr="00DE6060" w:rsidRDefault="001273A9" w:rsidP="00661BE4">
      <w:pPr>
        <w:tabs>
          <w:tab w:val="left" w:pos="567"/>
          <w:tab w:val="left" w:pos="2280"/>
          <w:tab w:val="left" w:pos="4020"/>
          <w:tab w:val="left" w:pos="5280"/>
          <w:tab w:val="left" w:pos="6320"/>
          <w:tab w:val="left" w:pos="6620"/>
          <w:tab w:val="left" w:pos="8480"/>
        </w:tabs>
        <w:spacing w:line="23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е) в</w:t>
      </w:r>
      <w:r w:rsidR="00661BE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661BE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оптимизации</w:t>
      </w:r>
      <w:r w:rsidR="00661BE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="00661BE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61BE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проблемными</w:t>
      </w:r>
      <w:r w:rsidR="00661BE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активами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приобретен </w:t>
      </w:r>
      <w:r w:rsidR="005D5089" w:rsidRPr="00DE6060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="00181EA5" w:rsidRPr="00DE606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5D5089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программн</w:t>
      </w:r>
      <w:r w:rsidR="00181EA5" w:rsidRPr="00DE6060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комплекс со следующим функционалом:</w:t>
      </w:r>
    </w:p>
    <w:p w:rsidR="006D3CC5" w:rsidRPr="00DE6060" w:rsidRDefault="006D3CC5" w:rsidP="002E0631">
      <w:pPr>
        <w:spacing w:line="8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систематизация информации о проведенных банком-партнером мероприятиях в рамках работы с проблемными активами;</w:t>
      </w: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систематизация информации об ожидаемых и фактических суммах/датах выплат </w:t>
      </w:r>
      <w:r w:rsidR="001273A9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B2000" w:rsidRPr="00DE6060">
        <w:rPr>
          <w:rFonts w:ascii="Times New Roman" w:eastAsia="Times New Roman" w:hAnsi="Times New Roman" w:cs="Times New Roman"/>
          <w:sz w:val="24"/>
          <w:szCs w:val="24"/>
        </w:rPr>
        <w:t>поручительствам/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гарантиям;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анализ эффективности расходов </w:t>
      </w:r>
      <w:r w:rsidR="001273A9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взысканию проблемной задолженности (в том числе по агентским договорам/договорам аутсорсинга);</w:t>
      </w:r>
    </w:p>
    <w:p w:rsidR="006D3CC5" w:rsidRPr="00DE6060" w:rsidRDefault="006D3CC5" w:rsidP="002E0631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формирование отчетности по работе с проблемными активами;</w:t>
      </w:r>
    </w:p>
    <w:p w:rsidR="006D3CC5" w:rsidRPr="00DE6060" w:rsidRDefault="006D3CC5" w:rsidP="002E0631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автоматизация деятельности структурных подразделений </w:t>
      </w:r>
      <w:r w:rsidR="001273A9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 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части работы с проблемными активами.</w:t>
      </w:r>
    </w:p>
    <w:p w:rsidR="006D3CC5" w:rsidRPr="00DE6060" w:rsidRDefault="006D3CC5" w:rsidP="002E0631">
      <w:pPr>
        <w:spacing w:line="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26"/>
        </w:numPr>
        <w:tabs>
          <w:tab w:val="left" w:pos="1321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рамках Программ</w:t>
      </w:r>
      <w:r w:rsidR="001273A9" w:rsidRPr="00DE606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осуществлены</w:t>
      </w:r>
      <w:r w:rsidR="00282296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следующие мероприятия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CC5" w:rsidRPr="00DE6060" w:rsidRDefault="006D3CC5" w:rsidP="002E0631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а) в первом полугодии 201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1943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актуализир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="00194392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требования с</w:t>
      </w:r>
      <w:r w:rsidR="00B57F29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учетом опыта работы по новым направлениям деятельности 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б) в </w:t>
      </w:r>
      <w:r w:rsidR="00194392" w:rsidRPr="00DE606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полугодии 201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4A0A95" w:rsidRPr="00DE6060">
        <w:rPr>
          <w:rFonts w:ascii="Times New Roman" w:eastAsia="Times New Roman" w:hAnsi="Times New Roman" w:cs="Times New Roman"/>
          <w:sz w:val="24"/>
          <w:szCs w:val="24"/>
        </w:rPr>
        <w:t>, в качестве РГО,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актуализир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овал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управлению кредитным риском и риском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иквидности;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в) в первом полугодии 2017 года в 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Фонде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внедрены требования к управлению риском ликвидности, операционным и правовым рисками;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г) после разработки требований к ИТ-инфраструктуре 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60A" w:rsidRPr="00DE6060">
        <w:rPr>
          <w:rFonts w:ascii="Times New Roman" w:eastAsia="Times New Roman" w:hAnsi="Times New Roman" w:cs="Times New Roman"/>
          <w:sz w:val="24"/>
          <w:szCs w:val="24"/>
        </w:rPr>
        <w:t>планируется запуск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процесс</w:t>
      </w:r>
      <w:r w:rsidR="007D260A" w:rsidRPr="00DE606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сбора данных для разработки и валидации моделей внутренних кредитных рейтингов/скориновых моделей </w:t>
      </w:r>
      <w:r w:rsidR="00F21B7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spacing w:line="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5549C8" w:rsidP="002E0631">
      <w:pPr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целей осуществления выплат по </w:t>
      </w:r>
      <w:r w:rsidR="00BB2000" w:rsidRPr="00DE6060">
        <w:rPr>
          <w:rFonts w:ascii="Times New Roman" w:eastAsia="Times New Roman" w:hAnsi="Times New Roman" w:cs="Times New Roman"/>
          <w:sz w:val="24"/>
          <w:szCs w:val="24"/>
        </w:rPr>
        <w:t>поручительствам/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гарантиям, в отношении которых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плановом периоде возможно наступление </w:t>
      </w:r>
      <w:r w:rsidR="00BB2000" w:rsidRPr="00DE6060">
        <w:rPr>
          <w:rFonts w:ascii="Times New Roman" w:eastAsia="Times New Roman" w:hAnsi="Times New Roman" w:cs="Times New Roman"/>
          <w:sz w:val="24"/>
          <w:szCs w:val="24"/>
        </w:rPr>
        <w:t xml:space="preserve">случаев несвоевременного выполнения/невыполнения обязательств и/или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гарантийных случаев,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ежегодно при подготовке финансовых и операционных планов 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резервы на возможные потери и выплаты по выданным </w:t>
      </w:r>
      <w:r w:rsidR="00BB2000" w:rsidRPr="00DE6060">
        <w:rPr>
          <w:rFonts w:ascii="Times New Roman" w:eastAsia="Times New Roman" w:hAnsi="Times New Roman" w:cs="Times New Roman"/>
          <w:sz w:val="24"/>
          <w:szCs w:val="24"/>
        </w:rPr>
        <w:t>поручительствам/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гарантиям</w:t>
      </w:r>
      <w:r w:rsidR="002665F8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признания задолженности проблемной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. Размещение денежных средств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C5162D" w:rsidRPr="00DE6060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в высоконадежных банках. </w:t>
      </w:r>
    </w:p>
    <w:p w:rsidR="006D3CC5" w:rsidRPr="00DE6060" w:rsidRDefault="006D3CC5" w:rsidP="002E0631">
      <w:pPr>
        <w:spacing w:line="1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27"/>
        </w:numPr>
        <w:tabs>
          <w:tab w:val="left" w:pos="1150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рамках осуществления внутреннего контроля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призван решить задачи:</w:t>
      </w:r>
    </w:p>
    <w:p w:rsidR="006D3CC5" w:rsidRPr="00DE6060" w:rsidRDefault="006D3CC5" w:rsidP="002E0631">
      <w:pPr>
        <w:spacing w:line="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3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унификации подходов системы внутреннего контроля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аффилированных с ней организаций;</w:t>
      </w: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эффективности расходования бюджетных средств на контрольные процедуры.</w:t>
      </w:r>
    </w:p>
    <w:p w:rsidR="006D3CC5" w:rsidRPr="00DE6060" w:rsidRDefault="006D3CC5" w:rsidP="002E0631">
      <w:pPr>
        <w:spacing w:line="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решения вышеуказанных задач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E13" w:rsidRPr="00DE6060">
        <w:rPr>
          <w:rFonts w:ascii="Times New Roman" w:eastAsia="Times New Roman" w:hAnsi="Times New Roman" w:cs="Times New Roman"/>
          <w:sz w:val="24"/>
          <w:szCs w:val="24"/>
        </w:rPr>
        <w:t xml:space="preserve">использовал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следующие методы и подходы: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анализ действующих локальных нормативных актов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аффилированных с ней организаций, целью которого является оценка качества созданных систем управления рисками;</w:t>
      </w: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проверка соблюдения законодательства Российской Федерации и иных актов регулирующих и надзорных органов, внутренних документов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аффилированных с ней организаций и установленных ими методик, программ, правил, порядков и процедур, целью которой является оценка качества и соответствия данных документов требованиям законодательства Российской Федерации и иных актов;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операционная проверка, цель которой заключается в оценке качества и соответствия систем, процессов и процедур внутренним документам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аффилированных с ней организаций, а также анализе организационных структур и их достаточности для выполнения возложенных функций;</w:t>
      </w: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проверка качества управления, цель которой состоит в оценке качества подходов органов управления, структурных подразделений и работников к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рискам, присущим деятельности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аффилированных с ней организаций, методам контроля за рисками в рамках поставленных целей;</w:t>
      </w:r>
    </w:p>
    <w:p w:rsidR="006D3CC5" w:rsidRPr="00DE6060" w:rsidRDefault="006D3CC5" w:rsidP="00DE606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финансовая проверка, цель которой – оценка надежности учета и отчетности, в том числе управленческой.</w:t>
      </w:r>
    </w:p>
    <w:p w:rsidR="006D3CC5" w:rsidRPr="00DE6060" w:rsidRDefault="006D3CC5" w:rsidP="00DE6060">
      <w:pPr>
        <w:spacing w:after="0" w:line="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DE606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рамках осуществления внутреннего контроля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D18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предпринял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следующие меры:</w:t>
      </w:r>
    </w:p>
    <w:p w:rsidR="006D3CC5" w:rsidRPr="00DE6060" w:rsidRDefault="006D3CC5" w:rsidP="00DE6060">
      <w:pPr>
        <w:spacing w:after="0" w:line="8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DE6060">
      <w:pPr>
        <w:spacing w:after="0"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функционирования созданной в 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>Фонде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системы внутреннего контроля, выявление и анализ проблем системы управления рисками, связанных с ее функционированием;</w:t>
      </w:r>
    </w:p>
    <w:p w:rsidR="006D3CC5" w:rsidRPr="00DE6060" w:rsidRDefault="006D3CC5" w:rsidP="00DE6060">
      <w:pPr>
        <w:tabs>
          <w:tab w:val="left" w:pos="3300"/>
          <w:tab w:val="left" w:pos="4460"/>
          <w:tab w:val="left" w:pos="6060"/>
          <w:tab w:val="left" w:pos="7760"/>
          <w:tab w:val="left" w:pos="8120"/>
        </w:tabs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информирование</w:t>
      </w:r>
      <w:r w:rsidRPr="00DE6060">
        <w:rPr>
          <w:rFonts w:ascii="Times New Roman" w:hAnsi="Times New Roman" w:cs="Times New Roman"/>
          <w:sz w:val="24"/>
          <w:szCs w:val="24"/>
        </w:rPr>
        <w:tab/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  <w:t>управления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ab/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="002C033D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A70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процессе </w:t>
      </w:r>
      <w:r w:rsidR="001F30D0" w:rsidRPr="00DE606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еализации контрольных мероприятий проблемах, рисках, нарушениях и недостатках;</w:t>
      </w:r>
    </w:p>
    <w:p w:rsidR="006D3CC5" w:rsidRPr="00DE6060" w:rsidRDefault="006D3CC5" w:rsidP="00DE6060">
      <w:pPr>
        <w:spacing w:after="0" w:line="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DE6060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осуществление контроля за соответствием существующей в 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>Фонде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рисками текущему состоянию продуктов и процессов 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DE6060">
      <w:pPr>
        <w:spacing w:after="0" w:line="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DE6060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инициирование изменений системы управления рисками для учета происходящих изменений в процессах и (или) продуктах 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6D3CC5" w:rsidP="002E0631">
      <w:pPr>
        <w:tabs>
          <w:tab w:val="left" w:pos="1340"/>
          <w:tab w:val="left" w:pos="2540"/>
          <w:tab w:val="left" w:pos="4340"/>
          <w:tab w:val="left" w:pos="5580"/>
          <w:tab w:val="left" w:pos="7500"/>
        </w:tabs>
        <w:spacing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6060">
        <w:rPr>
          <w:rFonts w:ascii="Times New Roman" w:hAnsi="Times New Roman" w:cs="Times New Roman"/>
          <w:sz w:val="24"/>
          <w:szCs w:val="24"/>
        </w:rPr>
        <w:tab/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DE6060">
        <w:rPr>
          <w:rFonts w:ascii="Times New Roman" w:hAnsi="Times New Roman" w:cs="Times New Roman"/>
          <w:sz w:val="24"/>
          <w:szCs w:val="24"/>
        </w:rPr>
        <w:tab/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DE6060">
        <w:rPr>
          <w:rFonts w:ascii="Times New Roman" w:hAnsi="Times New Roman" w:cs="Times New Roman"/>
          <w:sz w:val="24"/>
          <w:szCs w:val="24"/>
        </w:rPr>
        <w:tab/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DE6060">
        <w:rPr>
          <w:rFonts w:ascii="Times New Roman" w:hAnsi="Times New Roman" w:cs="Times New Roman"/>
          <w:sz w:val="24"/>
          <w:szCs w:val="24"/>
        </w:rPr>
        <w:tab/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="001F30D0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аффилированных</w:t>
      </w:r>
      <w:r w:rsidR="001F30D0" w:rsidRPr="00DE606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>Фондом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и появления новых направлений деятельности 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программу интеграции систем внутреннего контроля.</w:t>
      </w:r>
    </w:p>
    <w:p w:rsidR="006D3CC5" w:rsidRPr="00DE6060" w:rsidRDefault="006D3CC5" w:rsidP="002E0631">
      <w:pPr>
        <w:spacing w:line="11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28"/>
        </w:numPr>
        <w:tabs>
          <w:tab w:val="left" w:pos="1244"/>
        </w:tabs>
        <w:spacing w:after="0" w:line="233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рамках Программы это означает разработку унифицированных требований, создание системы обмена информацией (и учета).</w:t>
      </w:r>
    </w:p>
    <w:p w:rsidR="006D3CC5" w:rsidRPr="00DE6060" w:rsidRDefault="006D3CC5" w:rsidP="00CD4CE9">
      <w:pPr>
        <w:numPr>
          <w:ilvl w:val="1"/>
          <w:numId w:val="28"/>
        </w:numPr>
        <w:tabs>
          <w:tab w:val="left" w:pos="1080"/>
        </w:tabs>
        <w:spacing w:after="0" w:line="23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 </w:t>
      </w:r>
      <w:r w:rsidR="00217E13" w:rsidRPr="00DE6060">
        <w:rPr>
          <w:rFonts w:ascii="Times New Roman" w:eastAsia="Times New Roman" w:hAnsi="Times New Roman" w:cs="Times New Roman"/>
          <w:sz w:val="24"/>
          <w:szCs w:val="24"/>
        </w:rPr>
        <w:t>осуществил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CC5" w:rsidRPr="00DE6060" w:rsidRDefault="006D3CC5" w:rsidP="00DE6060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A50F2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единые </w:t>
      </w:r>
      <w:proofErr w:type="spellStart"/>
      <w:r w:rsidRPr="00DE6060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Pr="00DE6060">
        <w:rPr>
          <w:rFonts w:ascii="Times New Roman" w:eastAsia="Times New Roman" w:hAnsi="Times New Roman" w:cs="Times New Roman"/>
          <w:sz w:val="24"/>
          <w:szCs w:val="24"/>
        </w:rPr>
        <w:t>-требования;</w:t>
      </w:r>
    </w:p>
    <w:p w:rsidR="006D3CC5" w:rsidRPr="00DE6060" w:rsidRDefault="00217E13" w:rsidP="00DE6060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унификацию комплаенс-требований </w:t>
      </w:r>
      <w:r w:rsidR="00423EF4" w:rsidRPr="00DE6060">
        <w:rPr>
          <w:rFonts w:ascii="Times New Roman" w:eastAsia="Times New Roman" w:hAnsi="Times New Roman" w:cs="Times New Roman"/>
          <w:sz w:val="24"/>
          <w:szCs w:val="24"/>
        </w:rPr>
        <w:t>в параллели с действующими моделями в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EF4" w:rsidRPr="00DE6060">
        <w:rPr>
          <w:rFonts w:ascii="Times New Roman" w:eastAsia="Times New Roman" w:hAnsi="Times New Roman" w:cs="Times New Roman"/>
          <w:sz w:val="24"/>
          <w:szCs w:val="24"/>
        </w:rPr>
        <w:t>коммерческих</w:t>
      </w:r>
      <w:r w:rsidR="00E453E4" w:rsidRPr="00DE6060">
        <w:rPr>
          <w:rFonts w:ascii="Times New Roman" w:eastAsia="Times New Roman" w:hAnsi="Times New Roman" w:cs="Times New Roman"/>
          <w:sz w:val="24"/>
          <w:szCs w:val="24"/>
        </w:rPr>
        <w:t xml:space="preserve"> банка</w:t>
      </w:r>
      <w:r w:rsidR="00423EF4" w:rsidRPr="00DE60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DE6060">
      <w:pPr>
        <w:spacing w:after="0" w:line="23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17E13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требования к проектному аудиту.</w:t>
      </w:r>
    </w:p>
    <w:p w:rsidR="006D3CC5" w:rsidRPr="00DE6060" w:rsidRDefault="006D3CC5" w:rsidP="002E0631">
      <w:pPr>
        <w:spacing w:line="23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В 2018 году </w:t>
      </w:r>
      <w:r w:rsidR="00A77C1F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217E13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осуществил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CC5" w:rsidRPr="00DE6060" w:rsidRDefault="006D3CC5" w:rsidP="00DE6060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7457" w:rsidRPr="00DE6060">
        <w:rPr>
          <w:rFonts w:ascii="Times New Roman" w:eastAsia="Times New Roman" w:hAnsi="Times New Roman" w:cs="Times New Roman"/>
          <w:sz w:val="24"/>
          <w:szCs w:val="24"/>
        </w:rPr>
        <w:t>унификацию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комплаенс </w:t>
      </w:r>
      <w:r w:rsidR="00627457" w:rsidRPr="00DE6060">
        <w:rPr>
          <w:rFonts w:ascii="Times New Roman" w:eastAsia="Times New Roman" w:hAnsi="Times New Roman" w:cs="Times New Roman"/>
          <w:sz w:val="24"/>
          <w:szCs w:val="24"/>
        </w:rPr>
        <w:t xml:space="preserve">для целей совместимости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с единым подходом,</w:t>
      </w:r>
      <w:r w:rsidR="00A77C1F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7457" w:rsidRPr="00DE6060">
        <w:rPr>
          <w:rFonts w:ascii="Times New Roman" w:eastAsia="Times New Roman" w:hAnsi="Times New Roman" w:cs="Times New Roman"/>
          <w:sz w:val="24"/>
          <w:szCs w:val="24"/>
        </w:rPr>
        <w:t xml:space="preserve">принятым в </w:t>
      </w:r>
      <w:r w:rsidR="00A77C1F" w:rsidRPr="00DE6060">
        <w:rPr>
          <w:rFonts w:ascii="Times New Roman" w:eastAsia="Times New Roman" w:hAnsi="Times New Roman" w:cs="Times New Roman"/>
          <w:sz w:val="24"/>
          <w:szCs w:val="24"/>
        </w:rPr>
        <w:t xml:space="preserve">АО «Корпорация развития МСП»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для РГО;</w:t>
      </w:r>
    </w:p>
    <w:p w:rsidR="006D3CC5" w:rsidRPr="00DE6060" w:rsidRDefault="006D3CC5" w:rsidP="00DE6060">
      <w:pPr>
        <w:spacing w:after="0" w:line="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DE6060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разработ</w:t>
      </w:r>
      <w:r w:rsidR="00217E13" w:rsidRPr="00DE6060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едины</w:t>
      </w:r>
      <w:r w:rsidR="00217E13" w:rsidRPr="00DE606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требования проектного аудита для РГО. Корпорацией ежегодно </w:t>
      </w:r>
      <w:r w:rsidR="00217E13" w:rsidRPr="00DE6060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проведение контрольных</w:t>
      </w:r>
      <w:r w:rsidR="00B57404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мероприятий (точечные/выборочные проверки) по соблюдению процедуры оценки рисков, в том числе при выдаче гарантий.</w:t>
      </w:r>
    </w:p>
    <w:p w:rsidR="006D3CC5" w:rsidRPr="00DE6060" w:rsidRDefault="006D3CC5" w:rsidP="002E0631">
      <w:pPr>
        <w:spacing w:line="8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В целях противодействия легализации (отмыванию) доходов, полученных преступным путем, и финансированию терроризма (ПОД/ФТ)</w:t>
      </w:r>
      <w:r w:rsidR="001A50F2"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 осуществлял мероприятия по мере необходимости.</w:t>
      </w:r>
    </w:p>
    <w:p w:rsidR="006D3CC5" w:rsidRPr="00DE6060" w:rsidRDefault="006D3CC5" w:rsidP="00CD4CE9">
      <w:pPr>
        <w:numPr>
          <w:ilvl w:val="0"/>
          <w:numId w:val="29"/>
        </w:numPr>
        <w:tabs>
          <w:tab w:val="left" w:pos="54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безопасности деятельности </w:t>
      </w:r>
      <w:r w:rsidR="00FD0BEC" w:rsidRPr="00DE6060">
        <w:rPr>
          <w:rFonts w:ascii="Times New Roman" w:eastAsia="Times New Roman" w:hAnsi="Times New Roman" w:cs="Times New Roman"/>
          <w:b/>
          <w:bCs/>
          <w:sz w:val="24"/>
          <w:szCs w:val="24"/>
        </w:rPr>
        <w:t>Фонда</w:t>
      </w:r>
    </w:p>
    <w:p w:rsidR="006D3CC5" w:rsidRPr="00DE6060" w:rsidRDefault="006D3CC5" w:rsidP="002E0631">
      <w:pPr>
        <w:spacing w:line="249" w:lineRule="exac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CC5" w:rsidRPr="00DE6060" w:rsidRDefault="006D3CC5" w:rsidP="00CD4CE9">
      <w:pPr>
        <w:numPr>
          <w:ilvl w:val="1"/>
          <w:numId w:val="29"/>
        </w:numPr>
        <w:tabs>
          <w:tab w:val="left" w:pos="448"/>
        </w:tabs>
        <w:spacing w:after="0" w:line="233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D0BEC" w:rsidRPr="00DE606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FD0BEC" w:rsidRPr="00DE60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годах обеспечение безопасности деятельности </w:t>
      </w:r>
      <w:r w:rsidR="00FD0BEC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D47137" w:rsidRPr="00DE6060">
        <w:rPr>
          <w:rFonts w:ascii="Times New Roman" w:eastAsia="Times New Roman" w:hAnsi="Times New Roman" w:cs="Times New Roman"/>
          <w:sz w:val="24"/>
          <w:szCs w:val="24"/>
        </w:rPr>
        <w:t xml:space="preserve">лось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на основе комплекса организационных, правовых,</w:t>
      </w:r>
      <w:r w:rsidR="00E3088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административных, профилактических, охранных, информационно-технических и иных мер, направленных на создание и поддержание режима безопасности, обеспечивающего</w:t>
      </w:r>
      <w:r w:rsidR="00D471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8E" w:rsidRPr="00DE6060">
        <w:rPr>
          <w:rFonts w:ascii="Times New Roman" w:eastAsia="Times New Roman" w:hAnsi="Times New Roman" w:cs="Times New Roman"/>
          <w:sz w:val="24"/>
          <w:szCs w:val="24"/>
        </w:rPr>
        <w:t>Фонду</w:t>
      </w:r>
      <w:r w:rsidR="00D47137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8E" w:rsidRPr="00DE6060">
        <w:rPr>
          <w:rFonts w:ascii="Times New Roman" w:eastAsia="Times New Roman" w:hAnsi="Times New Roman" w:cs="Times New Roman"/>
          <w:sz w:val="24"/>
          <w:szCs w:val="24"/>
        </w:rPr>
        <w:t>стабильное</w:t>
      </w:r>
      <w:r w:rsidR="00E3088E" w:rsidRPr="00DE6060">
        <w:rPr>
          <w:rFonts w:ascii="Times New Roman" w:hAnsi="Times New Roman" w:cs="Times New Roman"/>
          <w:sz w:val="24"/>
          <w:szCs w:val="24"/>
        </w:rPr>
        <w:t xml:space="preserve"> </w:t>
      </w:r>
      <w:r w:rsidR="00E3088E" w:rsidRPr="00DE6060">
        <w:rPr>
          <w:rFonts w:ascii="Times New Roman" w:eastAsia="Times New Roman" w:hAnsi="Times New Roman" w:cs="Times New Roman"/>
          <w:sz w:val="24"/>
          <w:szCs w:val="24"/>
        </w:rPr>
        <w:t xml:space="preserve">развитие, </w:t>
      </w:r>
      <w:r w:rsidR="00193A9D" w:rsidRPr="00DE6060">
        <w:rPr>
          <w:rFonts w:ascii="Times New Roman" w:eastAsia="Times New Roman" w:hAnsi="Times New Roman" w:cs="Times New Roman"/>
          <w:sz w:val="24"/>
          <w:szCs w:val="24"/>
        </w:rPr>
        <w:t>а персоналу</w:t>
      </w:r>
      <w:r w:rsidR="00E3088E"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Фонда – надежную защиту в кризисных ситуациях. Деятельность по обеспечению безопасности Фонда в указанный период Фонд</w:t>
      </w:r>
      <w:r w:rsidR="00CB4219" w:rsidRPr="00DE606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3088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осуществ</w:t>
      </w:r>
      <w:r w:rsidR="00D47137" w:rsidRPr="00DE6060">
        <w:rPr>
          <w:rFonts w:ascii="Times New Roman" w:eastAsia="Times New Roman" w:hAnsi="Times New Roman" w:cs="Times New Roman"/>
          <w:sz w:val="24"/>
          <w:szCs w:val="24"/>
        </w:rPr>
        <w:t>лялась</w:t>
      </w:r>
      <w:r w:rsidR="00E3088E" w:rsidRPr="00DE6060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6D3CC5" w:rsidRPr="00DE6060" w:rsidRDefault="006D3CC5" w:rsidP="002E0631">
      <w:pPr>
        <w:spacing w:line="8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9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1) осуществление комплекса мероприятий, направленных на обеспечение сохранности сведений, составляющих </w:t>
      </w:r>
      <w:r w:rsidR="00035418" w:rsidRPr="00DE6060">
        <w:rPr>
          <w:rFonts w:ascii="Times New Roman" w:eastAsia="Times New Roman" w:hAnsi="Times New Roman" w:cs="Times New Roman"/>
          <w:sz w:val="24"/>
          <w:szCs w:val="24"/>
        </w:rPr>
        <w:t>коммерческую тайну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и информационных ресурсов ограниченного распространения;</w:t>
      </w:r>
    </w:p>
    <w:p w:rsidR="006D3CC5" w:rsidRPr="00DE6060" w:rsidRDefault="006D3CC5" w:rsidP="002E0631">
      <w:pPr>
        <w:spacing w:line="12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0"/>
          <w:numId w:val="30"/>
        </w:numPr>
        <w:tabs>
          <w:tab w:val="left" w:pos="1131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инструкций, регламентов и положений в области обеспечения безопасности при организации делопроизводства, сохранности документов и сведений ограниченного распространения; постоянное уточнение перечня сведений ограниченного распространения </w:t>
      </w:r>
      <w:r w:rsidR="0003541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, а также организация разграничения по уровням доступа к ним;</w:t>
      </w:r>
    </w:p>
    <w:p w:rsidR="006D3CC5" w:rsidRPr="00DE6060" w:rsidRDefault="006D3CC5" w:rsidP="002E0631">
      <w:pPr>
        <w:spacing w:line="1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CD4CE9">
      <w:pPr>
        <w:numPr>
          <w:ilvl w:val="0"/>
          <w:numId w:val="30"/>
        </w:numPr>
        <w:tabs>
          <w:tab w:val="left" w:pos="1131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экономической безопасности, предотвращение ущерба, который может быть причинен неправомерными действиями работников </w:t>
      </w:r>
      <w:r w:rsidR="00035418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(или) третьих лиц, в том числе:</w:t>
      </w:r>
    </w:p>
    <w:p w:rsidR="006D3CC5" w:rsidRPr="00DE6060" w:rsidRDefault="006D3CC5" w:rsidP="002E0631">
      <w:pPr>
        <w:spacing w:line="11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3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при реализации в </w:t>
      </w:r>
      <w:r w:rsidR="00035418"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Фонде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политики Российской Федерации в области противодействия коррупции;</w:t>
      </w:r>
    </w:p>
    <w:p w:rsidR="006D3CC5" w:rsidRPr="00DE6060" w:rsidRDefault="00035418" w:rsidP="002E0631">
      <w:pPr>
        <w:spacing w:line="233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при осуществлении Фондом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оказанию субъектам МСП поддержки, предусмотренной Законом № 209-ФЗ;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при выявлении и анализе факторов и условий, способствующих возникновению угроз экономической безопасности и угроз репутационного характера;</w:t>
      </w:r>
    </w:p>
    <w:p w:rsidR="006D3CC5" w:rsidRPr="00DE6060" w:rsidRDefault="006D3CC5" w:rsidP="002E0631">
      <w:pPr>
        <w:spacing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при разработке проектов локальных нормативных актов по предупреждению угроз экономической безопасности;</w:t>
      </w:r>
    </w:p>
    <w:p w:rsidR="006D3CC5" w:rsidRPr="00DE6060" w:rsidRDefault="006D3CC5" w:rsidP="002E0631">
      <w:pPr>
        <w:spacing w:line="23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при подготовке и сопровождении мероприятий, направленных на предупреждение и пресечение в 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>Фонде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е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филиалах противоправных действий в финансово-экономической сфере, в том числе при организации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закупок, выполнении работ и оказании услуг для нужд 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ее филиалов, сохранность интеллектуальной собственности, противодействие угрозам в кадровой деятельности;</w:t>
      </w:r>
    </w:p>
    <w:p w:rsidR="006D3CC5" w:rsidRPr="00DE6060" w:rsidRDefault="006D3CC5" w:rsidP="002E0631">
      <w:pPr>
        <w:spacing w:line="234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при защите экономических интересов Российской Федерации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>, субъекта Российской Федерации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сотрудничества с иностранными партнерами;</w:t>
      </w:r>
    </w:p>
    <w:p w:rsidR="006D3CC5" w:rsidRPr="00DE6060" w:rsidRDefault="006D3CC5" w:rsidP="002E0631">
      <w:pPr>
        <w:spacing w:line="234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4) обеспечение информационной безопасности 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, защиты автоматизированных систем, баз данных и иных информационных ресурсов </w:t>
      </w:r>
      <w:r w:rsidR="004F7256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CC5" w:rsidRPr="00DE6060" w:rsidRDefault="004F7256" w:rsidP="002E0631">
      <w:pPr>
        <w:spacing w:line="234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обеспечи</w:t>
      </w:r>
      <w:r w:rsidR="00CF5D6D" w:rsidRPr="00DE606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работоспособность и развитие функциональных возможностей системы обеспечения информационной безопасности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Фонда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законодательных актов Российской Федерации по мере наступления необходимости (в т.ч. возможно, но не исключительно 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ФСТЭК России и ФСБ России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3CC5"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spacing w:line="9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6D3CC5" w:rsidRPr="00DE6060" w:rsidRDefault="006D3CC5" w:rsidP="002E0631">
      <w:pPr>
        <w:spacing w:line="235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5) в целях профилактики коррупционных и иных правонарушений </w:t>
      </w:r>
      <w:r w:rsidR="00EF1FC3" w:rsidRPr="00DE606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="00CF5D6D" w:rsidRPr="00DE6060">
        <w:rPr>
          <w:rFonts w:ascii="Times New Roman" w:eastAsia="Times New Roman" w:hAnsi="Times New Roman" w:cs="Times New Roman"/>
          <w:sz w:val="24"/>
          <w:szCs w:val="24"/>
        </w:rPr>
        <w:t xml:space="preserve"> реализовал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комплекс мероприятий в соответствии с положениями Федерального закона от 25.12.2008</w:t>
      </w:r>
      <w:r w:rsidR="00A7501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№ 273-ФЗ «О противодействии коррупции» и Указа Президента Российской Федерации от 02.04.2013</w:t>
      </w:r>
      <w:r w:rsidR="00A7501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№ 309 «О мерах по реализации отдельных положений Федерального закона «О противодействии коррупции», предусматривающий:</w:t>
      </w:r>
    </w:p>
    <w:p w:rsidR="006D3CC5" w:rsidRPr="00DE6060" w:rsidRDefault="006D3CC5" w:rsidP="002E0631">
      <w:pPr>
        <w:spacing w:line="234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соблюдения работниками </w:t>
      </w:r>
      <w:r w:rsidR="00FC3D1A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запретов, ограничений и обязанностей, установленных в сфере противодействия коррупции;</w:t>
      </w:r>
    </w:p>
    <w:p w:rsidR="006D3CC5" w:rsidRPr="00DE6060" w:rsidRDefault="006D3CC5" w:rsidP="002E0631">
      <w:pPr>
        <w:spacing w:line="233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– организацию антикоррупционного просвещения и формирование основ законопослушного поведения работников </w:t>
      </w:r>
      <w:r w:rsidR="00FC3D1A" w:rsidRPr="00DE6060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CC5" w:rsidRPr="00DE6060" w:rsidRDefault="006D3CC5" w:rsidP="002E0631">
      <w:pPr>
        <w:spacing w:line="234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060">
        <w:rPr>
          <w:rFonts w:ascii="Times New Roman" w:eastAsia="Times New Roman" w:hAnsi="Times New Roman" w:cs="Times New Roman"/>
          <w:sz w:val="24"/>
          <w:szCs w:val="24"/>
        </w:rPr>
        <w:t>– проведение антикоррупционной экспертизы локальных нормативных актов, иных регулирующих деятельн</w:t>
      </w:r>
      <w:r w:rsidR="00FC3D1A" w:rsidRPr="00DE6060">
        <w:rPr>
          <w:rFonts w:ascii="Times New Roman" w:eastAsia="Times New Roman" w:hAnsi="Times New Roman" w:cs="Times New Roman"/>
          <w:sz w:val="24"/>
          <w:szCs w:val="24"/>
        </w:rPr>
        <w:t>ость Фонда</w:t>
      </w:r>
      <w:r w:rsidRPr="00DE6060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их проектов в целях исключения положений документов, создающих условия для проявления коррупции.</w:t>
      </w:r>
    </w:p>
    <w:sectPr w:rsidR="006D3CC5" w:rsidRPr="00DE6060" w:rsidSect="00AF354A">
      <w:pgSz w:w="11900" w:h="16838"/>
      <w:pgMar w:top="699" w:right="726" w:bottom="646" w:left="1140" w:header="0" w:footer="0" w:gutter="0"/>
      <w:cols w:space="720" w:equalWidth="0">
        <w:col w:w="10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AD" w:rsidRDefault="00F874AD" w:rsidP="00EC7528">
      <w:pPr>
        <w:spacing w:after="0" w:line="240" w:lineRule="auto"/>
      </w:pPr>
      <w:r>
        <w:separator/>
      </w:r>
    </w:p>
  </w:endnote>
  <w:endnote w:type="continuationSeparator" w:id="0">
    <w:p w:rsidR="00F874AD" w:rsidRDefault="00F874AD" w:rsidP="00EC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892981"/>
      <w:docPartObj>
        <w:docPartGallery w:val="Page Numbers (Bottom of Page)"/>
        <w:docPartUnique/>
      </w:docPartObj>
    </w:sdtPr>
    <w:sdtContent>
      <w:p w:rsidR="00F874AD" w:rsidRDefault="00F874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B42">
          <w:rPr>
            <w:noProof/>
          </w:rPr>
          <w:t>4</w:t>
        </w:r>
        <w:r>
          <w:fldChar w:fldCharType="end"/>
        </w:r>
      </w:p>
    </w:sdtContent>
  </w:sdt>
  <w:p w:rsidR="00F874AD" w:rsidRDefault="00F874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AD" w:rsidRDefault="00F874AD" w:rsidP="00EC7528">
      <w:pPr>
        <w:spacing w:after="0" w:line="240" w:lineRule="auto"/>
      </w:pPr>
      <w:r>
        <w:separator/>
      </w:r>
    </w:p>
  </w:footnote>
  <w:footnote w:type="continuationSeparator" w:id="0">
    <w:p w:rsidR="00F874AD" w:rsidRDefault="00F874AD" w:rsidP="00EC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90"/>
    <w:multiLevelType w:val="hybridMultilevel"/>
    <w:tmpl w:val="41F6EBFA"/>
    <w:lvl w:ilvl="0" w:tplc="7F9CFB48">
      <w:start w:val="1"/>
      <w:numFmt w:val="bullet"/>
      <w:lvlText w:val="с"/>
      <w:lvlJc w:val="left"/>
    </w:lvl>
    <w:lvl w:ilvl="1" w:tplc="C6CE6186">
      <w:start w:val="1"/>
      <w:numFmt w:val="bullet"/>
      <w:lvlText w:val="В"/>
      <w:lvlJc w:val="left"/>
    </w:lvl>
    <w:lvl w:ilvl="2" w:tplc="C1940250">
      <w:numFmt w:val="decimal"/>
      <w:lvlText w:val=""/>
      <w:lvlJc w:val="left"/>
    </w:lvl>
    <w:lvl w:ilvl="3" w:tplc="0CD0EE54">
      <w:numFmt w:val="decimal"/>
      <w:lvlText w:val=""/>
      <w:lvlJc w:val="left"/>
    </w:lvl>
    <w:lvl w:ilvl="4" w:tplc="D34CC174">
      <w:numFmt w:val="decimal"/>
      <w:lvlText w:val=""/>
      <w:lvlJc w:val="left"/>
    </w:lvl>
    <w:lvl w:ilvl="5" w:tplc="167842CA">
      <w:numFmt w:val="decimal"/>
      <w:lvlText w:val=""/>
      <w:lvlJc w:val="left"/>
    </w:lvl>
    <w:lvl w:ilvl="6" w:tplc="8C3C5E08">
      <w:numFmt w:val="decimal"/>
      <w:lvlText w:val=""/>
      <w:lvlJc w:val="left"/>
    </w:lvl>
    <w:lvl w:ilvl="7" w:tplc="BF7A221E">
      <w:numFmt w:val="decimal"/>
      <w:lvlText w:val=""/>
      <w:lvlJc w:val="left"/>
    </w:lvl>
    <w:lvl w:ilvl="8" w:tplc="45461EA6">
      <w:numFmt w:val="decimal"/>
      <w:lvlText w:val=""/>
      <w:lvlJc w:val="left"/>
    </w:lvl>
  </w:abstractNum>
  <w:abstractNum w:abstractNumId="1" w15:restartNumberingAfterBreak="0">
    <w:nsid w:val="00000633"/>
    <w:multiLevelType w:val="hybridMultilevel"/>
    <w:tmpl w:val="9F88AC06"/>
    <w:lvl w:ilvl="0" w:tplc="138EAC00">
      <w:start w:val="1"/>
      <w:numFmt w:val="bullet"/>
      <w:lvlText w:val="в"/>
      <w:lvlJc w:val="left"/>
    </w:lvl>
    <w:lvl w:ilvl="1" w:tplc="EDD227FC">
      <w:start w:val="1"/>
      <w:numFmt w:val="bullet"/>
      <w:lvlText w:val=""/>
      <w:lvlJc w:val="left"/>
    </w:lvl>
    <w:lvl w:ilvl="2" w:tplc="6C205E48">
      <w:numFmt w:val="decimal"/>
      <w:lvlText w:val=""/>
      <w:lvlJc w:val="left"/>
    </w:lvl>
    <w:lvl w:ilvl="3" w:tplc="8618E51A">
      <w:numFmt w:val="decimal"/>
      <w:lvlText w:val=""/>
      <w:lvlJc w:val="left"/>
    </w:lvl>
    <w:lvl w:ilvl="4" w:tplc="D1727E88">
      <w:numFmt w:val="decimal"/>
      <w:lvlText w:val=""/>
      <w:lvlJc w:val="left"/>
    </w:lvl>
    <w:lvl w:ilvl="5" w:tplc="B4546D32">
      <w:numFmt w:val="decimal"/>
      <w:lvlText w:val=""/>
      <w:lvlJc w:val="left"/>
    </w:lvl>
    <w:lvl w:ilvl="6" w:tplc="B7D4CA58">
      <w:numFmt w:val="decimal"/>
      <w:lvlText w:val=""/>
      <w:lvlJc w:val="left"/>
    </w:lvl>
    <w:lvl w:ilvl="7" w:tplc="1616C550">
      <w:numFmt w:val="decimal"/>
      <w:lvlText w:val=""/>
      <w:lvlJc w:val="left"/>
    </w:lvl>
    <w:lvl w:ilvl="8" w:tplc="088E8C7E">
      <w:numFmt w:val="decimal"/>
      <w:lvlText w:val=""/>
      <w:lvlJc w:val="left"/>
    </w:lvl>
  </w:abstractNum>
  <w:abstractNum w:abstractNumId="2" w15:restartNumberingAfterBreak="0">
    <w:nsid w:val="00001049"/>
    <w:multiLevelType w:val="hybridMultilevel"/>
    <w:tmpl w:val="05F83CEA"/>
    <w:lvl w:ilvl="0" w:tplc="3CB8D2FE">
      <w:start w:val="1"/>
      <w:numFmt w:val="bullet"/>
      <w:lvlText w:val="В"/>
      <w:lvlJc w:val="left"/>
    </w:lvl>
    <w:lvl w:ilvl="1" w:tplc="D5DC110C">
      <w:numFmt w:val="decimal"/>
      <w:lvlText w:val=""/>
      <w:lvlJc w:val="left"/>
    </w:lvl>
    <w:lvl w:ilvl="2" w:tplc="6DA49A3E">
      <w:numFmt w:val="decimal"/>
      <w:lvlText w:val=""/>
      <w:lvlJc w:val="left"/>
    </w:lvl>
    <w:lvl w:ilvl="3" w:tplc="B8E828EC">
      <w:numFmt w:val="decimal"/>
      <w:lvlText w:val=""/>
      <w:lvlJc w:val="left"/>
    </w:lvl>
    <w:lvl w:ilvl="4" w:tplc="71288BEC">
      <w:numFmt w:val="decimal"/>
      <w:lvlText w:val=""/>
      <w:lvlJc w:val="left"/>
    </w:lvl>
    <w:lvl w:ilvl="5" w:tplc="409E6DCC">
      <w:numFmt w:val="decimal"/>
      <w:lvlText w:val=""/>
      <w:lvlJc w:val="left"/>
    </w:lvl>
    <w:lvl w:ilvl="6" w:tplc="8FECD15E">
      <w:numFmt w:val="decimal"/>
      <w:lvlText w:val=""/>
      <w:lvlJc w:val="left"/>
    </w:lvl>
    <w:lvl w:ilvl="7" w:tplc="82E89AD6">
      <w:numFmt w:val="decimal"/>
      <w:lvlText w:val=""/>
      <w:lvlJc w:val="left"/>
    </w:lvl>
    <w:lvl w:ilvl="8" w:tplc="9016261C">
      <w:numFmt w:val="decimal"/>
      <w:lvlText w:val=""/>
      <w:lvlJc w:val="left"/>
    </w:lvl>
  </w:abstractNum>
  <w:abstractNum w:abstractNumId="3" w15:restartNumberingAfterBreak="0">
    <w:nsid w:val="000010D9"/>
    <w:multiLevelType w:val="hybridMultilevel"/>
    <w:tmpl w:val="68F63CD0"/>
    <w:lvl w:ilvl="0" w:tplc="599C5326">
      <w:start w:val="1"/>
      <w:numFmt w:val="bullet"/>
      <w:lvlText w:val="с"/>
      <w:lvlJc w:val="left"/>
    </w:lvl>
    <w:lvl w:ilvl="1" w:tplc="73AE77F0">
      <w:start w:val="1"/>
      <w:numFmt w:val="bullet"/>
      <w:lvlText w:val="В"/>
      <w:lvlJc w:val="left"/>
    </w:lvl>
    <w:lvl w:ilvl="2" w:tplc="C1E62096">
      <w:numFmt w:val="decimal"/>
      <w:lvlText w:val=""/>
      <w:lvlJc w:val="left"/>
    </w:lvl>
    <w:lvl w:ilvl="3" w:tplc="8B2A4910">
      <w:numFmt w:val="decimal"/>
      <w:lvlText w:val=""/>
      <w:lvlJc w:val="left"/>
    </w:lvl>
    <w:lvl w:ilvl="4" w:tplc="7C3C9210">
      <w:numFmt w:val="decimal"/>
      <w:lvlText w:val=""/>
      <w:lvlJc w:val="left"/>
    </w:lvl>
    <w:lvl w:ilvl="5" w:tplc="0DE2E888">
      <w:numFmt w:val="decimal"/>
      <w:lvlText w:val=""/>
      <w:lvlJc w:val="left"/>
    </w:lvl>
    <w:lvl w:ilvl="6" w:tplc="2892CA4C">
      <w:numFmt w:val="decimal"/>
      <w:lvlText w:val=""/>
      <w:lvlJc w:val="left"/>
    </w:lvl>
    <w:lvl w:ilvl="7" w:tplc="65E43E20">
      <w:numFmt w:val="decimal"/>
      <w:lvlText w:val=""/>
      <w:lvlJc w:val="left"/>
    </w:lvl>
    <w:lvl w:ilvl="8" w:tplc="D3C4AB4A">
      <w:numFmt w:val="decimal"/>
      <w:lvlText w:val=""/>
      <w:lvlJc w:val="left"/>
    </w:lvl>
  </w:abstractNum>
  <w:abstractNum w:abstractNumId="4" w15:restartNumberingAfterBreak="0">
    <w:nsid w:val="00001316"/>
    <w:multiLevelType w:val="hybridMultilevel"/>
    <w:tmpl w:val="439C0FB2"/>
    <w:lvl w:ilvl="0" w:tplc="5DBA4168">
      <w:start w:val="1"/>
      <w:numFmt w:val="bullet"/>
      <w:lvlText w:val="т."/>
      <w:lvlJc w:val="left"/>
    </w:lvl>
    <w:lvl w:ilvl="1" w:tplc="AA48065E">
      <w:start w:val="1"/>
      <w:numFmt w:val="bullet"/>
      <w:lvlText w:val=""/>
      <w:lvlJc w:val="left"/>
    </w:lvl>
    <w:lvl w:ilvl="2" w:tplc="B59CD84A">
      <w:start w:val="1"/>
      <w:numFmt w:val="bullet"/>
      <w:lvlText w:val="В"/>
      <w:lvlJc w:val="left"/>
    </w:lvl>
    <w:lvl w:ilvl="3" w:tplc="2D4414E0">
      <w:numFmt w:val="decimal"/>
      <w:lvlText w:val=""/>
      <w:lvlJc w:val="left"/>
    </w:lvl>
    <w:lvl w:ilvl="4" w:tplc="1DD4C452">
      <w:numFmt w:val="decimal"/>
      <w:lvlText w:val=""/>
      <w:lvlJc w:val="left"/>
    </w:lvl>
    <w:lvl w:ilvl="5" w:tplc="21A2ACF0">
      <w:numFmt w:val="decimal"/>
      <w:lvlText w:val=""/>
      <w:lvlJc w:val="left"/>
    </w:lvl>
    <w:lvl w:ilvl="6" w:tplc="E57C4236">
      <w:numFmt w:val="decimal"/>
      <w:lvlText w:val=""/>
      <w:lvlJc w:val="left"/>
    </w:lvl>
    <w:lvl w:ilvl="7" w:tplc="63F04AD2">
      <w:numFmt w:val="decimal"/>
      <w:lvlText w:val=""/>
      <w:lvlJc w:val="left"/>
    </w:lvl>
    <w:lvl w:ilvl="8" w:tplc="EC841E48">
      <w:numFmt w:val="decimal"/>
      <w:lvlText w:val=""/>
      <w:lvlJc w:val="left"/>
    </w:lvl>
  </w:abstractNum>
  <w:abstractNum w:abstractNumId="5" w15:restartNumberingAfterBreak="0">
    <w:nsid w:val="00001796"/>
    <w:multiLevelType w:val="hybridMultilevel"/>
    <w:tmpl w:val="EE62B2F2"/>
    <w:lvl w:ilvl="0" w:tplc="7E8654DC">
      <w:start w:val="1"/>
      <w:numFmt w:val="bullet"/>
      <w:lvlText w:val="в"/>
      <w:lvlJc w:val="left"/>
    </w:lvl>
    <w:lvl w:ilvl="1" w:tplc="D2ACA11E">
      <w:start w:val="1"/>
      <w:numFmt w:val="decimal"/>
      <w:lvlText w:val="%2)"/>
      <w:lvlJc w:val="left"/>
    </w:lvl>
    <w:lvl w:ilvl="2" w:tplc="9CC6C7BA">
      <w:numFmt w:val="decimal"/>
      <w:lvlText w:val=""/>
      <w:lvlJc w:val="left"/>
    </w:lvl>
    <w:lvl w:ilvl="3" w:tplc="DE3E94E8">
      <w:numFmt w:val="decimal"/>
      <w:lvlText w:val=""/>
      <w:lvlJc w:val="left"/>
    </w:lvl>
    <w:lvl w:ilvl="4" w:tplc="2E54C17E">
      <w:numFmt w:val="decimal"/>
      <w:lvlText w:val=""/>
      <w:lvlJc w:val="left"/>
    </w:lvl>
    <w:lvl w:ilvl="5" w:tplc="A128FDB4">
      <w:numFmt w:val="decimal"/>
      <w:lvlText w:val=""/>
      <w:lvlJc w:val="left"/>
    </w:lvl>
    <w:lvl w:ilvl="6" w:tplc="808E2E0E">
      <w:numFmt w:val="decimal"/>
      <w:lvlText w:val=""/>
      <w:lvlJc w:val="left"/>
    </w:lvl>
    <w:lvl w:ilvl="7" w:tplc="40100DE2">
      <w:numFmt w:val="decimal"/>
      <w:lvlText w:val=""/>
      <w:lvlJc w:val="left"/>
    </w:lvl>
    <w:lvl w:ilvl="8" w:tplc="1AEC113A">
      <w:numFmt w:val="decimal"/>
      <w:lvlText w:val=""/>
      <w:lvlJc w:val="left"/>
    </w:lvl>
  </w:abstractNum>
  <w:abstractNum w:abstractNumId="6" w15:restartNumberingAfterBreak="0">
    <w:nsid w:val="0000182F"/>
    <w:multiLevelType w:val="hybridMultilevel"/>
    <w:tmpl w:val="8FD8E176"/>
    <w:lvl w:ilvl="0" w:tplc="09D477AE">
      <w:start w:val="1"/>
      <w:numFmt w:val="bullet"/>
      <w:lvlText w:val="в"/>
      <w:lvlJc w:val="left"/>
    </w:lvl>
    <w:lvl w:ilvl="1" w:tplc="EC5894AC">
      <w:start w:val="1"/>
      <w:numFmt w:val="bullet"/>
      <w:lvlText w:val=""/>
      <w:lvlJc w:val="left"/>
    </w:lvl>
    <w:lvl w:ilvl="2" w:tplc="FE6C3902">
      <w:numFmt w:val="decimal"/>
      <w:lvlText w:val=""/>
      <w:lvlJc w:val="left"/>
    </w:lvl>
    <w:lvl w:ilvl="3" w:tplc="7EA051FC">
      <w:numFmt w:val="decimal"/>
      <w:lvlText w:val=""/>
      <w:lvlJc w:val="left"/>
    </w:lvl>
    <w:lvl w:ilvl="4" w:tplc="B96E386E">
      <w:numFmt w:val="decimal"/>
      <w:lvlText w:val=""/>
      <w:lvlJc w:val="left"/>
    </w:lvl>
    <w:lvl w:ilvl="5" w:tplc="27AEA0D4">
      <w:numFmt w:val="decimal"/>
      <w:lvlText w:val=""/>
      <w:lvlJc w:val="left"/>
    </w:lvl>
    <w:lvl w:ilvl="6" w:tplc="83B08658">
      <w:numFmt w:val="decimal"/>
      <w:lvlText w:val=""/>
      <w:lvlJc w:val="left"/>
    </w:lvl>
    <w:lvl w:ilvl="7" w:tplc="599E644A">
      <w:numFmt w:val="decimal"/>
      <w:lvlText w:val=""/>
      <w:lvlJc w:val="left"/>
    </w:lvl>
    <w:lvl w:ilvl="8" w:tplc="060E912A">
      <w:numFmt w:val="decimal"/>
      <w:lvlText w:val=""/>
      <w:lvlJc w:val="left"/>
    </w:lvl>
  </w:abstractNum>
  <w:abstractNum w:abstractNumId="7" w15:restartNumberingAfterBreak="0">
    <w:nsid w:val="000019DA"/>
    <w:multiLevelType w:val="hybridMultilevel"/>
    <w:tmpl w:val="4E14D7BA"/>
    <w:lvl w:ilvl="0" w:tplc="B8ECA63C">
      <w:start w:val="1"/>
      <w:numFmt w:val="bullet"/>
      <w:lvlText w:val="в"/>
      <w:lvlJc w:val="left"/>
    </w:lvl>
    <w:lvl w:ilvl="1" w:tplc="F26CB07E">
      <w:start w:val="3"/>
      <w:numFmt w:val="decimal"/>
      <w:lvlText w:val="%2)"/>
      <w:lvlJc w:val="left"/>
    </w:lvl>
    <w:lvl w:ilvl="2" w:tplc="7E24BF24">
      <w:numFmt w:val="decimal"/>
      <w:lvlText w:val=""/>
      <w:lvlJc w:val="left"/>
    </w:lvl>
    <w:lvl w:ilvl="3" w:tplc="7B609E56">
      <w:numFmt w:val="decimal"/>
      <w:lvlText w:val=""/>
      <w:lvlJc w:val="left"/>
    </w:lvl>
    <w:lvl w:ilvl="4" w:tplc="F9B65778">
      <w:numFmt w:val="decimal"/>
      <w:lvlText w:val=""/>
      <w:lvlJc w:val="left"/>
    </w:lvl>
    <w:lvl w:ilvl="5" w:tplc="09EAC840">
      <w:numFmt w:val="decimal"/>
      <w:lvlText w:val=""/>
      <w:lvlJc w:val="left"/>
    </w:lvl>
    <w:lvl w:ilvl="6" w:tplc="B75E3D74">
      <w:numFmt w:val="decimal"/>
      <w:lvlText w:val=""/>
      <w:lvlJc w:val="left"/>
    </w:lvl>
    <w:lvl w:ilvl="7" w:tplc="EAECF50A">
      <w:numFmt w:val="decimal"/>
      <w:lvlText w:val=""/>
      <w:lvlJc w:val="left"/>
    </w:lvl>
    <w:lvl w:ilvl="8" w:tplc="1966E3EE">
      <w:numFmt w:val="decimal"/>
      <w:lvlText w:val=""/>
      <w:lvlJc w:val="left"/>
    </w:lvl>
  </w:abstractNum>
  <w:abstractNum w:abstractNumId="8" w15:restartNumberingAfterBreak="0">
    <w:nsid w:val="00001D18"/>
    <w:multiLevelType w:val="hybridMultilevel"/>
    <w:tmpl w:val="2FD8C2E6"/>
    <w:lvl w:ilvl="0" w:tplc="A8B84812">
      <w:start w:val="1"/>
      <w:numFmt w:val="bullet"/>
      <w:lvlText w:val="в"/>
      <w:lvlJc w:val="left"/>
    </w:lvl>
    <w:lvl w:ilvl="1" w:tplc="5C9EA036">
      <w:start w:val="1"/>
      <w:numFmt w:val="bullet"/>
      <w:lvlText w:val="В"/>
      <w:lvlJc w:val="left"/>
    </w:lvl>
    <w:lvl w:ilvl="2" w:tplc="A6B27986">
      <w:numFmt w:val="decimal"/>
      <w:lvlText w:val=""/>
      <w:lvlJc w:val="left"/>
    </w:lvl>
    <w:lvl w:ilvl="3" w:tplc="A2EA5F82">
      <w:numFmt w:val="decimal"/>
      <w:lvlText w:val=""/>
      <w:lvlJc w:val="left"/>
    </w:lvl>
    <w:lvl w:ilvl="4" w:tplc="720CBEEA">
      <w:numFmt w:val="decimal"/>
      <w:lvlText w:val=""/>
      <w:lvlJc w:val="left"/>
    </w:lvl>
    <w:lvl w:ilvl="5" w:tplc="91C491FE">
      <w:numFmt w:val="decimal"/>
      <w:lvlText w:val=""/>
      <w:lvlJc w:val="left"/>
    </w:lvl>
    <w:lvl w:ilvl="6" w:tplc="41E2DCE4">
      <w:numFmt w:val="decimal"/>
      <w:lvlText w:val=""/>
      <w:lvlJc w:val="left"/>
    </w:lvl>
    <w:lvl w:ilvl="7" w:tplc="A18C264A">
      <w:numFmt w:val="decimal"/>
      <w:lvlText w:val=""/>
      <w:lvlJc w:val="left"/>
    </w:lvl>
    <w:lvl w:ilvl="8" w:tplc="39C0CED6">
      <w:numFmt w:val="decimal"/>
      <w:lvlText w:val=""/>
      <w:lvlJc w:val="left"/>
    </w:lvl>
  </w:abstractNum>
  <w:abstractNum w:abstractNumId="9" w15:restartNumberingAfterBreak="0">
    <w:nsid w:val="00001F16"/>
    <w:multiLevelType w:val="hybridMultilevel"/>
    <w:tmpl w:val="2AA6A710"/>
    <w:lvl w:ilvl="0" w:tplc="BD82BA26">
      <w:start w:val="1"/>
      <w:numFmt w:val="bullet"/>
      <w:lvlText w:val="в"/>
      <w:lvlJc w:val="left"/>
    </w:lvl>
    <w:lvl w:ilvl="1" w:tplc="F4843396">
      <w:start w:val="1"/>
      <w:numFmt w:val="bullet"/>
      <w:lvlText w:val=""/>
      <w:lvlJc w:val="left"/>
    </w:lvl>
    <w:lvl w:ilvl="2" w:tplc="8990E03E">
      <w:numFmt w:val="decimal"/>
      <w:lvlText w:val=""/>
      <w:lvlJc w:val="left"/>
    </w:lvl>
    <w:lvl w:ilvl="3" w:tplc="5F54AEBE">
      <w:numFmt w:val="decimal"/>
      <w:lvlText w:val=""/>
      <w:lvlJc w:val="left"/>
    </w:lvl>
    <w:lvl w:ilvl="4" w:tplc="343C33D8">
      <w:numFmt w:val="decimal"/>
      <w:lvlText w:val=""/>
      <w:lvlJc w:val="left"/>
    </w:lvl>
    <w:lvl w:ilvl="5" w:tplc="3C9A6192">
      <w:numFmt w:val="decimal"/>
      <w:lvlText w:val=""/>
      <w:lvlJc w:val="left"/>
    </w:lvl>
    <w:lvl w:ilvl="6" w:tplc="A334A26E">
      <w:numFmt w:val="decimal"/>
      <w:lvlText w:val=""/>
      <w:lvlJc w:val="left"/>
    </w:lvl>
    <w:lvl w:ilvl="7" w:tplc="00BC8AE8">
      <w:numFmt w:val="decimal"/>
      <w:lvlText w:val=""/>
      <w:lvlJc w:val="left"/>
    </w:lvl>
    <w:lvl w:ilvl="8" w:tplc="5AB6885A">
      <w:numFmt w:val="decimal"/>
      <w:lvlText w:val=""/>
      <w:lvlJc w:val="left"/>
    </w:lvl>
  </w:abstractNum>
  <w:abstractNum w:abstractNumId="10" w15:restartNumberingAfterBreak="0">
    <w:nsid w:val="0000293B"/>
    <w:multiLevelType w:val="hybridMultilevel"/>
    <w:tmpl w:val="02B41276"/>
    <w:lvl w:ilvl="0" w:tplc="BC72F770">
      <w:start w:val="1"/>
      <w:numFmt w:val="bullet"/>
      <w:lvlText w:val="В"/>
      <w:lvlJc w:val="left"/>
    </w:lvl>
    <w:lvl w:ilvl="1" w:tplc="4DCC13B8">
      <w:start w:val="3"/>
      <w:numFmt w:val="decimal"/>
      <w:lvlText w:val="%2)"/>
      <w:lvlJc w:val="left"/>
    </w:lvl>
    <w:lvl w:ilvl="2" w:tplc="BB7C362C">
      <w:numFmt w:val="decimal"/>
      <w:lvlText w:val=""/>
      <w:lvlJc w:val="left"/>
    </w:lvl>
    <w:lvl w:ilvl="3" w:tplc="9E28125E">
      <w:numFmt w:val="decimal"/>
      <w:lvlText w:val=""/>
      <w:lvlJc w:val="left"/>
    </w:lvl>
    <w:lvl w:ilvl="4" w:tplc="1A8E13E6">
      <w:numFmt w:val="decimal"/>
      <w:lvlText w:val=""/>
      <w:lvlJc w:val="left"/>
    </w:lvl>
    <w:lvl w:ilvl="5" w:tplc="E4E846C4">
      <w:numFmt w:val="decimal"/>
      <w:lvlText w:val=""/>
      <w:lvlJc w:val="left"/>
    </w:lvl>
    <w:lvl w:ilvl="6" w:tplc="44F602E0">
      <w:numFmt w:val="decimal"/>
      <w:lvlText w:val=""/>
      <w:lvlJc w:val="left"/>
    </w:lvl>
    <w:lvl w:ilvl="7" w:tplc="8262592A">
      <w:numFmt w:val="decimal"/>
      <w:lvlText w:val=""/>
      <w:lvlJc w:val="left"/>
    </w:lvl>
    <w:lvl w:ilvl="8" w:tplc="17EE7DB0">
      <w:numFmt w:val="decimal"/>
      <w:lvlText w:val=""/>
      <w:lvlJc w:val="left"/>
    </w:lvl>
  </w:abstractNum>
  <w:abstractNum w:abstractNumId="11" w15:restartNumberingAfterBreak="0">
    <w:nsid w:val="00002DB5"/>
    <w:multiLevelType w:val="hybridMultilevel"/>
    <w:tmpl w:val="8DF44980"/>
    <w:lvl w:ilvl="0" w:tplc="45DEBECC">
      <w:start w:val="1"/>
      <w:numFmt w:val="bullet"/>
      <w:lvlText w:val="с"/>
      <w:lvlJc w:val="left"/>
    </w:lvl>
    <w:lvl w:ilvl="1" w:tplc="349CAD16">
      <w:start w:val="1"/>
      <w:numFmt w:val="bullet"/>
      <w:lvlText w:val="В"/>
      <w:lvlJc w:val="left"/>
    </w:lvl>
    <w:lvl w:ilvl="2" w:tplc="CD0A9958">
      <w:numFmt w:val="decimal"/>
      <w:lvlText w:val=""/>
      <w:lvlJc w:val="left"/>
    </w:lvl>
    <w:lvl w:ilvl="3" w:tplc="43CAFC48">
      <w:numFmt w:val="decimal"/>
      <w:lvlText w:val=""/>
      <w:lvlJc w:val="left"/>
    </w:lvl>
    <w:lvl w:ilvl="4" w:tplc="EADA62A2">
      <w:numFmt w:val="decimal"/>
      <w:lvlText w:val=""/>
      <w:lvlJc w:val="left"/>
    </w:lvl>
    <w:lvl w:ilvl="5" w:tplc="78889C78">
      <w:numFmt w:val="decimal"/>
      <w:lvlText w:val=""/>
      <w:lvlJc w:val="left"/>
    </w:lvl>
    <w:lvl w:ilvl="6" w:tplc="28E4162A">
      <w:numFmt w:val="decimal"/>
      <w:lvlText w:val=""/>
      <w:lvlJc w:val="left"/>
    </w:lvl>
    <w:lvl w:ilvl="7" w:tplc="8A205BF0">
      <w:numFmt w:val="decimal"/>
      <w:lvlText w:val=""/>
      <w:lvlJc w:val="left"/>
    </w:lvl>
    <w:lvl w:ilvl="8" w:tplc="8362D142">
      <w:numFmt w:val="decimal"/>
      <w:lvlText w:val=""/>
      <w:lvlJc w:val="left"/>
    </w:lvl>
  </w:abstractNum>
  <w:abstractNum w:abstractNumId="12" w15:restartNumberingAfterBreak="0">
    <w:nsid w:val="000046C2"/>
    <w:multiLevelType w:val="hybridMultilevel"/>
    <w:tmpl w:val="5434DEC4"/>
    <w:lvl w:ilvl="0" w:tplc="8FA64708">
      <w:start w:val="5"/>
      <w:numFmt w:val="decimal"/>
      <w:lvlText w:val="%1."/>
      <w:lvlJc w:val="left"/>
    </w:lvl>
    <w:lvl w:ilvl="1" w:tplc="5AE0CCE4">
      <w:start w:val="1"/>
      <w:numFmt w:val="bullet"/>
      <w:lvlText w:val="\endash "/>
      <w:lvlJc w:val="left"/>
    </w:lvl>
    <w:lvl w:ilvl="2" w:tplc="F2A8ADFC">
      <w:numFmt w:val="decimal"/>
      <w:lvlText w:val=""/>
      <w:lvlJc w:val="left"/>
    </w:lvl>
    <w:lvl w:ilvl="3" w:tplc="0EECD758">
      <w:numFmt w:val="decimal"/>
      <w:lvlText w:val=""/>
      <w:lvlJc w:val="left"/>
    </w:lvl>
    <w:lvl w:ilvl="4" w:tplc="F6D625A4">
      <w:numFmt w:val="decimal"/>
      <w:lvlText w:val=""/>
      <w:lvlJc w:val="left"/>
    </w:lvl>
    <w:lvl w:ilvl="5" w:tplc="7ABA9502">
      <w:numFmt w:val="decimal"/>
      <w:lvlText w:val=""/>
      <w:lvlJc w:val="left"/>
    </w:lvl>
    <w:lvl w:ilvl="6" w:tplc="D46A6508">
      <w:numFmt w:val="decimal"/>
      <w:lvlText w:val=""/>
      <w:lvlJc w:val="left"/>
    </w:lvl>
    <w:lvl w:ilvl="7" w:tplc="41CEF45E">
      <w:numFmt w:val="decimal"/>
      <w:lvlText w:val=""/>
      <w:lvlJc w:val="left"/>
    </w:lvl>
    <w:lvl w:ilvl="8" w:tplc="4858AA4A">
      <w:numFmt w:val="decimal"/>
      <w:lvlText w:val=""/>
      <w:lvlJc w:val="left"/>
    </w:lvl>
  </w:abstractNum>
  <w:abstractNum w:abstractNumId="13" w15:restartNumberingAfterBreak="0">
    <w:nsid w:val="0000470E"/>
    <w:multiLevelType w:val="hybridMultilevel"/>
    <w:tmpl w:val="06E8483A"/>
    <w:lvl w:ilvl="0" w:tplc="62BE887C">
      <w:start w:val="1"/>
      <w:numFmt w:val="bullet"/>
      <w:lvlText w:val="В"/>
      <w:lvlJc w:val="left"/>
    </w:lvl>
    <w:lvl w:ilvl="1" w:tplc="86D05560">
      <w:numFmt w:val="decimal"/>
      <w:lvlText w:val=""/>
      <w:lvlJc w:val="left"/>
    </w:lvl>
    <w:lvl w:ilvl="2" w:tplc="C598097E">
      <w:numFmt w:val="decimal"/>
      <w:lvlText w:val=""/>
      <w:lvlJc w:val="left"/>
    </w:lvl>
    <w:lvl w:ilvl="3" w:tplc="7488E4D0">
      <w:numFmt w:val="decimal"/>
      <w:lvlText w:val=""/>
      <w:lvlJc w:val="left"/>
    </w:lvl>
    <w:lvl w:ilvl="4" w:tplc="A85669EA">
      <w:numFmt w:val="decimal"/>
      <w:lvlText w:val=""/>
      <w:lvlJc w:val="left"/>
    </w:lvl>
    <w:lvl w:ilvl="5" w:tplc="A1825F82">
      <w:numFmt w:val="decimal"/>
      <w:lvlText w:val=""/>
      <w:lvlJc w:val="left"/>
    </w:lvl>
    <w:lvl w:ilvl="6" w:tplc="7D7A13AC">
      <w:numFmt w:val="decimal"/>
      <w:lvlText w:val=""/>
      <w:lvlJc w:val="left"/>
    </w:lvl>
    <w:lvl w:ilvl="7" w:tplc="09D0B730">
      <w:numFmt w:val="decimal"/>
      <w:lvlText w:val=""/>
      <w:lvlJc w:val="left"/>
    </w:lvl>
    <w:lvl w:ilvl="8" w:tplc="34B43C7E">
      <w:numFmt w:val="decimal"/>
      <w:lvlText w:val=""/>
      <w:lvlJc w:val="left"/>
    </w:lvl>
  </w:abstractNum>
  <w:abstractNum w:abstractNumId="14" w15:restartNumberingAfterBreak="0">
    <w:nsid w:val="000049BB"/>
    <w:multiLevelType w:val="hybridMultilevel"/>
    <w:tmpl w:val="2CF29132"/>
    <w:lvl w:ilvl="0" w:tplc="BCFE0096">
      <w:start w:val="1"/>
      <w:numFmt w:val="bullet"/>
      <w:lvlText w:val=""/>
      <w:lvlJc w:val="left"/>
    </w:lvl>
    <w:lvl w:ilvl="1" w:tplc="FB326532">
      <w:numFmt w:val="decimal"/>
      <w:lvlText w:val=""/>
      <w:lvlJc w:val="left"/>
    </w:lvl>
    <w:lvl w:ilvl="2" w:tplc="97F4D1BC">
      <w:numFmt w:val="decimal"/>
      <w:lvlText w:val=""/>
      <w:lvlJc w:val="left"/>
    </w:lvl>
    <w:lvl w:ilvl="3" w:tplc="C46E37D6">
      <w:numFmt w:val="decimal"/>
      <w:lvlText w:val=""/>
      <w:lvlJc w:val="left"/>
    </w:lvl>
    <w:lvl w:ilvl="4" w:tplc="5EBA6B0C">
      <w:numFmt w:val="decimal"/>
      <w:lvlText w:val=""/>
      <w:lvlJc w:val="left"/>
    </w:lvl>
    <w:lvl w:ilvl="5" w:tplc="3F0ABB08">
      <w:numFmt w:val="decimal"/>
      <w:lvlText w:val=""/>
      <w:lvlJc w:val="left"/>
    </w:lvl>
    <w:lvl w:ilvl="6" w:tplc="C10ECC7C">
      <w:numFmt w:val="decimal"/>
      <w:lvlText w:val=""/>
      <w:lvlJc w:val="left"/>
    </w:lvl>
    <w:lvl w:ilvl="7" w:tplc="3112C57E">
      <w:numFmt w:val="decimal"/>
      <w:lvlText w:val=""/>
      <w:lvlJc w:val="left"/>
    </w:lvl>
    <w:lvl w:ilvl="8" w:tplc="ED08015C">
      <w:numFmt w:val="decimal"/>
      <w:lvlText w:val=""/>
      <w:lvlJc w:val="left"/>
    </w:lvl>
  </w:abstractNum>
  <w:abstractNum w:abstractNumId="15" w15:restartNumberingAfterBreak="0">
    <w:nsid w:val="00004C85"/>
    <w:multiLevelType w:val="hybridMultilevel"/>
    <w:tmpl w:val="3E02388E"/>
    <w:lvl w:ilvl="0" w:tplc="FD180DD0">
      <w:start w:val="1"/>
      <w:numFmt w:val="bullet"/>
      <w:lvlText w:val="В"/>
      <w:lvlJc w:val="left"/>
    </w:lvl>
    <w:lvl w:ilvl="1" w:tplc="5E660992">
      <w:numFmt w:val="decimal"/>
      <w:lvlText w:val=""/>
      <w:lvlJc w:val="left"/>
    </w:lvl>
    <w:lvl w:ilvl="2" w:tplc="93B8A488">
      <w:numFmt w:val="decimal"/>
      <w:lvlText w:val=""/>
      <w:lvlJc w:val="left"/>
    </w:lvl>
    <w:lvl w:ilvl="3" w:tplc="65C6B1A4">
      <w:numFmt w:val="decimal"/>
      <w:lvlText w:val=""/>
      <w:lvlJc w:val="left"/>
    </w:lvl>
    <w:lvl w:ilvl="4" w:tplc="4C780D3A">
      <w:numFmt w:val="decimal"/>
      <w:lvlText w:val=""/>
      <w:lvlJc w:val="left"/>
    </w:lvl>
    <w:lvl w:ilvl="5" w:tplc="D6529BEC">
      <w:numFmt w:val="decimal"/>
      <w:lvlText w:val=""/>
      <w:lvlJc w:val="left"/>
    </w:lvl>
    <w:lvl w:ilvl="6" w:tplc="4C3E45D2">
      <w:numFmt w:val="decimal"/>
      <w:lvlText w:val=""/>
      <w:lvlJc w:val="left"/>
    </w:lvl>
    <w:lvl w:ilvl="7" w:tplc="10806D5C">
      <w:numFmt w:val="decimal"/>
      <w:lvlText w:val=""/>
      <w:lvlJc w:val="left"/>
    </w:lvl>
    <w:lvl w:ilvl="8" w:tplc="FC72680C">
      <w:numFmt w:val="decimal"/>
      <w:lvlText w:val=""/>
      <w:lvlJc w:val="left"/>
    </w:lvl>
  </w:abstractNum>
  <w:abstractNum w:abstractNumId="16" w15:restartNumberingAfterBreak="0">
    <w:nsid w:val="00004D67"/>
    <w:multiLevelType w:val="hybridMultilevel"/>
    <w:tmpl w:val="8B56E710"/>
    <w:lvl w:ilvl="0" w:tplc="15BADEAA">
      <w:start w:val="1"/>
      <w:numFmt w:val="bullet"/>
      <w:lvlText w:val="в"/>
      <w:lvlJc w:val="left"/>
    </w:lvl>
    <w:lvl w:ilvl="1" w:tplc="C0C82F02">
      <w:start w:val="1"/>
      <w:numFmt w:val="bullet"/>
      <w:lvlText w:val=""/>
      <w:lvlJc w:val="left"/>
    </w:lvl>
    <w:lvl w:ilvl="2" w:tplc="D4D20792">
      <w:numFmt w:val="decimal"/>
      <w:lvlText w:val=""/>
      <w:lvlJc w:val="left"/>
    </w:lvl>
    <w:lvl w:ilvl="3" w:tplc="AB740DA8">
      <w:numFmt w:val="decimal"/>
      <w:lvlText w:val=""/>
      <w:lvlJc w:val="left"/>
    </w:lvl>
    <w:lvl w:ilvl="4" w:tplc="28362AA2">
      <w:numFmt w:val="decimal"/>
      <w:lvlText w:val=""/>
      <w:lvlJc w:val="left"/>
    </w:lvl>
    <w:lvl w:ilvl="5" w:tplc="06FA1FEE">
      <w:numFmt w:val="decimal"/>
      <w:lvlText w:val=""/>
      <w:lvlJc w:val="left"/>
    </w:lvl>
    <w:lvl w:ilvl="6" w:tplc="48BE0212">
      <w:numFmt w:val="decimal"/>
      <w:lvlText w:val=""/>
      <w:lvlJc w:val="left"/>
    </w:lvl>
    <w:lvl w:ilvl="7" w:tplc="DCF09FEE">
      <w:numFmt w:val="decimal"/>
      <w:lvlText w:val=""/>
      <w:lvlJc w:val="left"/>
    </w:lvl>
    <w:lvl w:ilvl="8" w:tplc="F6907430">
      <w:numFmt w:val="decimal"/>
      <w:lvlText w:val=""/>
      <w:lvlJc w:val="left"/>
    </w:lvl>
  </w:abstractNum>
  <w:abstractNum w:abstractNumId="17" w15:restartNumberingAfterBreak="0">
    <w:nsid w:val="00004F68"/>
    <w:multiLevelType w:val="hybridMultilevel"/>
    <w:tmpl w:val="21ECACFE"/>
    <w:lvl w:ilvl="0" w:tplc="2F2C284C">
      <w:start w:val="1"/>
      <w:numFmt w:val="bullet"/>
      <w:lvlText w:val="В"/>
      <w:lvlJc w:val="left"/>
    </w:lvl>
    <w:lvl w:ilvl="1" w:tplc="5580925A">
      <w:numFmt w:val="decimal"/>
      <w:lvlText w:val=""/>
      <w:lvlJc w:val="left"/>
    </w:lvl>
    <w:lvl w:ilvl="2" w:tplc="00F2AC04">
      <w:numFmt w:val="decimal"/>
      <w:lvlText w:val=""/>
      <w:lvlJc w:val="left"/>
    </w:lvl>
    <w:lvl w:ilvl="3" w:tplc="98B84E32">
      <w:numFmt w:val="decimal"/>
      <w:lvlText w:val=""/>
      <w:lvlJc w:val="left"/>
    </w:lvl>
    <w:lvl w:ilvl="4" w:tplc="281E5D92">
      <w:numFmt w:val="decimal"/>
      <w:lvlText w:val=""/>
      <w:lvlJc w:val="left"/>
    </w:lvl>
    <w:lvl w:ilvl="5" w:tplc="34AE733E">
      <w:numFmt w:val="decimal"/>
      <w:lvlText w:val=""/>
      <w:lvlJc w:val="left"/>
    </w:lvl>
    <w:lvl w:ilvl="6" w:tplc="97BEDAC8">
      <w:numFmt w:val="decimal"/>
      <w:lvlText w:val=""/>
      <w:lvlJc w:val="left"/>
    </w:lvl>
    <w:lvl w:ilvl="7" w:tplc="D1401CAC">
      <w:numFmt w:val="decimal"/>
      <w:lvlText w:val=""/>
      <w:lvlJc w:val="left"/>
    </w:lvl>
    <w:lvl w:ilvl="8" w:tplc="3F3406BE">
      <w:numFmt w:val="decimal"/>
      <w:lvlText w:val=""/>
      <w:lvlJc w:val="left"/>
    </w:lvl>
  </w:abstractNum>
  <w:abstractNum w:abstractNumId="18" w15:restartNumberingAfterBreak="0">
    <w:nsid w:val="00004FC0"/>
    <w:multiLevelType w:val="hybridMultilevel"/>
    <w:tmpl w:val="8E0E5686"/>
    <w:lvl w:ilvl="0" w:tplc="D57EEBCC">
      <w:start w:val="1"/>
      <w:numFmt w:val="bullet"/>
      <w:lvlText w:val="и"/>
      <w:lvlJc w:val="left"/>
    </w:lvl>
    <w:lvl w:ilvl="1" w:tplc="858859A8">
      <w:start w:val="1"/>
      <w:numFmt w:val="bullet"/>
      <w:lvlText w:val="В"/>
      <w:lvlJc w:val="left"/>
    </w:lvl>
    <w:lvl w:ilvl="2" w:tplc="E82EAB10">
      <w:numFmt w:val="decimal"/>
      <w:lvlText w:val=""/>
      <w:lvlJc w:val="left"/>
    </w:lvl>
    <w:lvl w:ilvl="3" w:tplc="F3C8C88A">
      <w:numFmt w:val="decimal"/>
      <w:lvlText w:val=""/>
      <w:lvlJc w:val="left"/>
    </w:lvl>
    <w:lvl w:ilvl="4" w:tplc="FDD2FA10">
      <w:numFmt w:val="decimal"/>
      <w:lvlText w:val=""/>
      <w:lvlJc w:val="left"/>
    </w:lvl>
    <w:lvl w:ilvl="5" w:tplc="C5EC6CC6">
      <w:numFmt w:val="decimal"/>
      <w:lvlText w:val=""/>
      <w:lvlJc w:val="left"/>
    </w:lvl>
    <w:lvl w:ilvl="6" w:tplc="76D657BA">
      <w:numFmt w:val="decimal"/>
      <w:lvlText w:val=""/>
      <w:lvlJc w:val="left"/>
    </w:lvl>
    <w:lvl w:ilvl="7" w:tplc="E86E76FC">
      <w:numFmt w:val="decimal"/>
      <w:lvlText w:val=""/>
      <w:lvlJc w:val="left"/>
    </w:lvl>
    <w:lvl w:ilvl="8" w:tplc="111EEDE6">
      <w:numFmt w:val="decimal"/>
      <w:lvlText w:val=""/>
      <w:lvlJc w:val="left"/>
    </w:lvl>
  </w:abstractNum>
  <w:abstractNum w:abstractNumId="19" w15:restartNumberingAfterBreak="0">
    <w:nsid w:val="00005005"/>
    <w:multiLevelType w:val="hybridMultilevel"/>
    <w:tmpl w:val="6E5073B8"/>
    <w:lvl w:ilvl="0" w:tplc="E418064A">
      <w:start w:val="1"/>
      <w:numFmt w:val="bullet"/>
      <w:lvlText w:val="№"/>
      <w:lvlJc w:val="left"/>
    </w:lvl>
    <w:lvl w:ilvl="1" w:tplc="7F2E6F66">
      <w:start w:val="1"/>
      <w:numFmt w:val="bullet"/>
      <w:lvlText w:val="В"/>
      <w:lvlJc w:val="left"/>
    </w:lvl>
    <w:lvl w:ilvl="2" w:tplc="0318FF7A">
      <w:numFmt w:val="decimal"/>
      <w:lvlText w:val=""/>
      <w:lvlJc w:val="left"/>
    </w:lvl>
    <w:lvl w:ilvl="3" w:tplc="A9AA5852">
      <w:numFmt w:val="decimal"/>
      <w:lvlText w:val=""/>
      <w:lvlJc w:val="left"/>
    </w:lvl>
    <w:lvl w:ilvl="4" w:tplc="A872CA7E">
      <w:numFmt w:val="decimal"/>
      <w:lvlText w:val=""/>
      <w:lvlJc w:val="left"/>
    </w:lvl>
    <w:lvl w:ilvl="5" w:tplc="ECFAE2F6">
      <w:numFmt w:val="decimal"/>
      <w:lvlText w:val=""/>
      <w:lvlJc w:val="left"/>
    </w:lvl>
    <w:lvl w:ilvl="6" w:tplc="85F47F4A">
      <w:numFmt w:val="decimal"/>
      <w:lvlText w:val=""/>
      <w:lvlJc w:val="left"/>
    </w:lvl>
    <w:lvl w:ilvl="7" w:tplc="A2AC53AE">
      <w:numFmt w:val="decimal"/>
      <w:lvlText w:val=""/>
      <w:lvlJc w:val="left"/>
    </w:lvl>
    <w:lvl w:ilvl="8" w:tplc="A36AA22C">
      <w:numFmt w:val="decimal"/>
      <w:lvlText w:val=""/>
      <w:lvlJc w:val="left"/>
    </w:lvl>
  </w:abstractNum>
  <w:abstractNum w:abstractNumId="20" w15:restartNumberingAfterBreak="0">
    <w:nsid w:val="00005876"/>
    <w:multiLevelType w:val="hybridMultilevel"/>
    <w:tmpl w:val="12CC996C"/>
    <w:lvl w:ilvl="0" w:tplc="3790DB84">
      <w:start w:val="1"/>
      <w:numFmt w:val="bullet"/>
      <w:lvlText w:val=""/>
      <w:lvlJc w:val="left"/>
    </w:lvl>
    <w:lvl w:ilvl="1" w:tplc="08FAA6E6">
      <w:numFmt w:val="decimal"/>
      <w:lvlText w:val=""/>
      <w:lvlJc w:val="left"/>
    </w:lvl>
    <w:lvl w:ilvl="2" w:tplc="62E43668">
      <w:numFmt w:val="decimal"/>
      <w:lvlText w:val=""/>
      <w:lvlJc w:val="left"/>
    </w:lvl>
    <w:lvl w:ilvl="3" w:tplc="97BCA35A">
      <w:numFmt w:val="decimal"/>
      <w:lvlText w:val=""/>
      <w:lvlJc w:val="left"/>
    </w:lvl>
    <w:lvl w:ilvl="4" w:tplc="294EED98">
      <w:numFmt w:val="decimal"/>
      <w:lvlText w:val=""/>
      <w:lvlJc w:val="left"/>
    </w:lvl>
    <w:lvl w:ilvl="5" w:tplc="7E261F1C">
      <w:numFmt w:val="decimal"/>
      <w:lvlText w:val=""/>
      <w:lvlJc w:val="left"/>
    </w:lvl>
    <w:lvl w:ilvl="6" w:tplc="CED428A4">
      <w:numFmt w:val="decimal"/>
      <w:lvlText w:val=""/>
      <w:lvlJc w:val="left"/>
    </w:lvl>
    <w:lvl w:ilvl="7" w:tplc="65F4A454">
      <w:numFmt w:val="decimal"/>
      <w:lvlText w:val=""/>
      <w:lvlJc w:val="left"/>
    </w:lvl>
    <w:lvl w:ilvl="8" w:tplc="AF66656A">
      <w:numFmt w:val="decimal"/>
      <w:lvlText w:val=""/>
      <w:lvlJc w:val="left"/>
    </w:lvl>
  </w:abstractNum>
  <w:abstractNum w:abstractNumId="21" w15:restartNumberingAfterBreak="0">
    <w:nsid w:val="00005968"/>
    <w:multiLevelType w:val="hybridMultilevel"/>
    <w:tmpl w:val="E65E2832"/>
    <w:lvl w:ilvl="0" w:tplc="5DDA0878">
      <w:start w:val="1"/>
      <w:numFmt w:val="bullet"/>
      <w:lvlText w:val="в"/>
      <w:lvlJc w:val="left"/>
    </w:lvl>
    <w:lvl w:ilvl="1" w:tplc="61D81BC6">
      <w:start w:val="1"/>
      <w:numFmt w:val="bullet"/>
      <w:lvlText w:val="В"/>
      <w:lvlJc w:val="left"/>
    </w:lvl>
    <w:lvl w:ilvl="2" w:tplc="E11EB73C">
      <w:numFmt w:val="decimal"/>
      <w:lvlText w:val=""/>
      <w:lvlJc w:val="left"/>
    </w:lvl>
    <w:lvl w:ilvl="3" w:tplc="26200C04">
      <w:numFmt w:val="decimal"/>
      <w:lvlText w:val=""/>
      <w:lvlJc w:val="left"/>
    </w:lvl>
    <w:lvl w:ilvl="4" w:tplc="45CC0A70">
      <w:numFmt w:val="decimal"/>
      <w:lvlText w:val=""/>
      <w:lvlJc w:val="left"/>
    </w:lvl>
    <w:lvl w:ilvl="5" w:tplc="AB508C0C">
      <w:numFmt w:val="decimal"/>
      <w:lvlText w:val=""/>
      <w:lvlJc w:val="left"/>
    </w:lvl>
    <w:lvl w:ilvl="6" w:tplc="497A4ADA">
      <w:numFmt w:val="decimal"/>
      <w:lvlText w:val=""/>
      <w:lvlJc w:val="left"/>
    </w:lvl>
    <w:lvl w:ilvl="7" w:tplc="158CEDC2">
      <w:numFmt w:val="decimal"/>
      <w:lvlText w:val=""/>
      <w:lvlJc w:val="left"/>
    </w:lvl>
    <w:lvl w:ilvl="8" w:tplc="BE4E6426">
      <w:numFmt w:val="decimal"/>
      <w:lvlText w:val=""/>
      <w:lvlJc w:val="left"/>
    </w:lvl>
  </w:abstractNum>
  <w:abstractNum w:abstractNumId="22" w15:restartNumberingAfterBreak="0">
    <w:nsid w:val="00005C5E"/>
    <w:multiLevelType w:val="hybridMultilevel"/>
    <w:tmpl w:val="D1CE6206"/>
    <w:lvl w:ilvl="0" w:tplc="F4249B9C">
      <w:start w:val="2"/>
      <w:numFmt w:val="decimal"/>
      <w:lvlText w:val="%1)"/>
      <w:lvlJc w:val="left"/>
    </w:lvl>
    <w:lvl w:ilvl="1" w:tplc="1D98C80C">
      <w:numFmt w:val="decimal"/>
      <w:lvlText w:val=""/>
      <w:lvlJc w:val="left"/>
    </w:lvl>
    <w:lvl w:ilvl="2" w:tplc="0282A1AE">
      <w:numFmt w:val="decimal"/>
      <w:lvlText w:val=""/>
      <w:lvlJc w:val="left"/>
    </w:lvl>
    <w:lvl w:ilvl="3" w:tplc="337807EE">
      <w:numFmt w:val="decimal"/>
      <w:lvlText w:val=""/>
      <w:lvlJc w:val="left"/>
    </w:lvl>
    <w:lvl w:ilvl="4" w:tplc="B9B4B5D8">
      <w:numFmt w:val="decimal"/>
      <w:lvlText w:val=""/>
      <w:lvlJc w:val="left"/>
    </w:lvl>
    <w:lvl w:ilvl="5" w:tplc="B5A8A3A2">
      <w:numFmt w:val="decimal"/>
      <w:lvlText w:val=""/>
      <w:lvlJc w:val="left"/>
    </w:lvl>
    <w:lvl w:ilvl="6" w:tplc="1BC4A070">
      <w:numFmt w:val="decimal"/>
      <w:lvlText w:val=""/>
      <w:lvlJc w:val="left"/>
    </w:lvl>
    <w:lvl w:ilvl="7" w:tplc="9A3EDA2A">
      <w:numFmt w:val="decimal"/>
      <w:lvlText w:val=""/>
      <w:lvlJc w:val="left"/>
    </w:lvl>
    <w:lvl w:ilvl="8" w:tplc="11C61878">
      <w:numFmt w:val="decimal"/>
      <w:lvlText w:val=""/>
      <w:lvlJc w:val="left"/>
    </w:lvl>
  </w:abstractNum>
  <w:abstractNum w:abstractNumId="23" w15:restartNumberingAfterBreak="0">
    <w:nsid w:val="00005F23"/>
    <w:multiLevelType w:val="hybridMultilevel"/>
    <w:tmpl w:val="C292FE7E"/>
    <w:lvl w:ilvl="0" w:tplc="E9A0589C">
      <w:start w:val="1"/>
      <w:numFmt w:val="bullet"/>
      <w:lvlText w:val="в"/>
      <w:lvlJc w:val="left"/>
    </w:lvl>
    <w:lvl w:ilvl="1" w:tplc="C2D60542">
      <w:start w:val="1"/>
      <w:numFmt w:val="bullet"/>
      <w:lvlText w:val="В"/>
      <w:lvlJc w:val="left"/>
    </w:lvl>
    <w:lvl w:ilvl="2" w:tplc="EFF2C136">
      <w:numFmt w:val="decimal"/>
      <w:lvlText w:val=""/>
      <w:lvlJc w:val="left"/>
    </w:lvl>
    <w:lvl w:ilvl="3" w:tplc="DA3E3FD8">
      <w:numFmt w:val="decimal"/>
      <w:lvlText w:val=""/>
      <w:lvlJc w:val="left"/>
    </w:lvl>
    <w:lvl w:ilvl="4" w:tplc="B8FE9EE6">
      <w:numFmt w:val="decimal"/>
      <w:lvlText w:val=""/>
      <w:lvlJc w:val="left"/>
    </w:lvl>
    <w:lvl w:ilvl="5" w:tplc="4C2E0C88">
      <w:numFmt w:val="decimal"/>
      <w:lvlText w:val=""/>
      <w:lvlJc w:val="left"/>
    </w:lvl>
    <w:lvl w:ilvl="6" w:tplc="0F0208E6">
      <w:numFmt w:val="decimal"/>
      <w:lvlText w:val=""/>
      <w:lvlJc w:val="left"/>
    </w:lvl>
    <w:lvl w:ilvl="7" w:tplc="C9D8DF52">
      <w:numFmt w:val="decimal"/>
      <w:lvlText w:val=""/>
      <w:lvlJc w:val="left"/>
    </w:lvl>
    <w:lvl w:ilvl="8" w:tplc="DABAAD5E">
      <w:numFmt w:val="decimal"/>
      <w:lvlText w:val=""/>
      <w:lvlJc w:val="left"/>
    </w:lvl>
  </w:abstractNum>
  <w:abstractNum w:abstractNumId="24" w15:restartNumberingAfterBreak="0">
    <w:nsid w:val="000066FA"/>
    <w:multiLevelType w:val="hybridMultilevel"/>
    <w:tmpl w:val="10D04AE6"/>
    <w:lvl w:ilvl="0" w:tplc="EB9EBBA6">
      <w:start w:val="1"/>
      <w:numFmt w:val="bullet"/>
      <w:lvlText w:val="и"/>
      <w:lvlJc w:val="left"/>
    </w:lvl>
    <w:lvl w:ilvl="1" w:tplc="4470FA92">
      <w:start w:val="1"/>
      <w:numFmt w:val="bullet"/>
      <w:lvlText w:val=""/>
      <w:lvlJc w:val="left"/>
    </w:lvl>
    <w:lvl w:ilvl="2" w:tplc="7C44AB0C">
      <w:numFmt w:val="decimal"/>
      <w:lvlText w:val=""/>
      <w:lvlJc w:val="left"/>
    </w:lvl>
    <w:lvl w:ilvl="3" w:tplc="8D2C66F0">
      <w:numFmt w:val="decimal"/>
      <w:lvlText w:val=""/>
      <w:lvlJc w:val="left"/>
    </w:lvl>
    <w:lvl w:ilvl="4" w:tplc="9DCC3D66">
      <w:numFmt w:val="decimal"/>
      <w:lvlText w:val=""/>
      <w:lvlJc w:val="left"/>
    </w:lvl>
    <w:lvl w:ilvl="5" w:tplc="F344149C">
      <w:numFmt w:val="decimal"/>
      <w:lvlText w:val=""/>
      <w:lvlJc w:val="left"/>
    </w:lvl>
    <w:lvl w:ilvl="6" w:tplc="EA963006">
      <w:numFmt w:val="decimal"/>
      <w:lvlText w:val=""/>
      <w:lvlJc w:val="left"/>
    </w:lvl>
    <w:lvl w:ilvl="7" w:tplc="BC5A75D4">
      <w:numFmt w:val="decimal"/>
      <w:lvlText w:val=""/>
      <w:lvlJc w:val="left"/>
    </w:lvl>
    <w:lvl w:ilvl="8" w:tplc="C014642C">
      <w:numFmt w:val="decimal"/>
      <w:lvlText w:val=""/>
      <w:lvlJc w:val="left"/>
    </w:lvl>
  </w:abstractNum>
  <w:abstractNum w:abstractNumId="25" w15:restartNumberingAfterBreak="0">
    <w:nsid w:val="000069D0"/>
    <w:multiLevelType w:val="hybridMultilevel"/>
    <w:tmpl w:val="240A00DA"/>
    <w:lvl w:ilvl="0" w:tplc="0F28BF5A">
      <w:start w:val="1"/>
      <w:numFmt w:val="bullet"/>
      <w:lvlText w:val="В"/>
      <w:lvlJc w:val="left"/>
    </w:lvl>
    <w:lvl w:ilvl="1" w:tplc="74AC5C2C">
      <w:numFmt w:val="decimal"/>
      <w:lvlText w:val=""/>
      <w:lvlJc w:val="left"/>
    </w:lvl>
    <w:lvl w:ilvl="2" w:tplc="67F48180">
      <w:numFmt w:val="decimal"/>
      <w:lvlText w:val=""/>
      <w:lvlJc w:val="left"/>
    </w:lvl>
    <w:lvl w:ilvl="3" w:tplc="A1803964">
      <w:numFmt w:val="decimal"/>
      <w:lvlText w:val=""/>
      <w:lvlJc w:val="left"/>
    </w:lvl>
    <w:lvl w:ilvl="4" w:tplc="11461CEA">
      <w:numFmt w:val="decimal"/>
      <w:lvlText w:val=""/>
      <w:lvlJc w:val="left"/>
    </w:lvl>
    <w:lvl w:ilvl="5" w:tplc="C576E2B4">
      <w:numFmt w:val="decimal"/>
      <w:lvlText w:val=""/>
      <w:lvlJc w:val="left"/>
    </w:lvl>
    <w:lvl w:ilvl="6" w:tplc="B8BCA09E">
      <w:numFmt w:val="decimal"/>
      <w:lvlText w:val=""/>
      <w:lvlJc w:val="left"/>
    </w:lvl>
    <w:lvl w:ilvl="7" w:tplc="7F7E9328">
      <w:numFmt w:val="decimal"/>
      <w:lvlText w:val=""/>
      <w:lvlJc w:val="left"/>
    </w:lvl>
    <w:lvl w:ilvl="8" w:tplc="FA008DCE">
      <w:numFmt w:val="decimal"/>
      <w:lvlText w:val=""/>
      <w:lvlJc w:val="left"/>
    </w:lvl>
  </w:abstractNum>
  <w:abstractNum w:abstractNumId="26" w15:restartNumberingAfterBreak="0">
    <w:nsid w:val="00006EA1"/>
    <w:multiLevelType w:val="hybridMultilevel"/>
    <w:tmpl w:val="0AE41D1C"/>
    <w:lvl w:ilvl="0" w:tplc="1C50B258">
      <w:start w:val="6"/>
      <w:numFmt w:val="decimal"/>
      <w:lvlText w:val="%1."/>
      <w:lvlJc w:val="left"/>
    </w:lvl>
    <w:lvl w:ilvl="1" w:tplc="651A1B66">
      <w:start w:val="1"/>
      <w:numFmt w:val="bullet"/>
      <w:lvlText w:val="В"/>
      <w:lvlJc w:val="left"/>
    </w:lvl>
    <w:lvl w:ilvl="2" w:tplc="863C1246">
      <w:numFmt w:val="decimal"/>
      <w:lvlText w:val=""/>
      <w:lvlJc w:val="left"/>
    </w:lvl>
    <w:lvl w:ilvl="3" w:tplc="73A26CD2">
      <w:numFmt w:val="decimal"/>
      <w:lvlText w:val=""/>
      <w:lvlJc w:val="left"/>
    </w:lvl>
    <w:lvl w:ilvl="4" w:tplc="4E30055E">
      <w:numFmt w:val="decimal"/>
      <w:lvlText w:val=""/>
      <w:lvlJc w:val="left"/>
    </w:lvl>
    <w:lvl w:ilvl="5" w:tplc="6A909EB4">
      <w:numFmt w:val="decimal"/>
      <w:lvlText w:val=""/>
      <w:lvlJc w:val="left"/>
    </w:lvl>
    <w:lvl w:ilvl="6" w:tplc="DD602916">
      <w:numFmt w:val="decimal"/>
      <w:lvlText w:val=""/>
      <w:lvlJc w:val="left"/>
    </w:lvl>
    <w:lvl w:ilvl="7" w:tplc="BDCCD34A">
      <w:numFmt w:val="decimal"/>
      <w:lvlText w:val=""/>
      <w:lvlJc w:val="left"/>
    </w:lvl>
    <w:lvl w:ilvl="8" w:tplc="7EDEB164">
      <w:numFmt w:val="decimal"/>
      <w:lvlText w:val=""/>
      <w:lvlJc w:val="left"/>
    </w:lvl>
  </w:abstractNum>
  <w:abstractNum w:abstractNumId="27" w15:restartNumberingAfterBreak="0">
    <w:nsid w:val="00006FC9"/>
    <w:multiLevelType w:val="hybridMultilevel"/>
    <w:tmpl w:val="B418A488"/>
    <w:lvl w:ilvl="0" w:tplc="8EBA0D06">
      <w:start w:val="1"/>
      <w:numFmt w:val="bullet"/>
      <w:lvlText w:val="в"/>
      <w:lvlJc w:val="left"/>
    </w:lvl>
    <w:lvl w:ilvl="1" w:tplc="07B62220">
      <w:start w:val="1"/>
      <w:numFmt w:val="bullet"/>
      <w:lvlText w:val="В"/>
      <w:lvlJc w:val="left"/>
    </w:lvl>
    <w:lvl w:ilvl="2" w:tplc="9B9C39FE">
      <w:numFmt w:val="decimal"/>
      <w:lvlText w:val=""/>
      <w:lvlJc w:val="left"/>
    </w:lvl>
    <w:lvl w:ilvl="3" w:tplc="5208544C">
      <w:numFmt w:val="decimal"/>
      <w:lvlText w:val=""/>
      <w:lvlJc w:val="left"/>
    </w:lvl>
    <w:lvl w:ilvl="4" w:tplc="572A4AB8">
      <w:numFmt w:val="decimal"/>
      <w:lvlText w:val=""/>
      <w:lvlJc w:val="left"/>
    </w:lvl>
    <w:lvl w:ilvl="5" w:tplc="F5C4FFAA">
      <w:numFmt w:val="decimal"/>
      <w:lvlText w:val=""/>
      <w:lvlJc w:val="left"/>
    </w:lvl>
    <w:lvl w:ilvl="6" w:tplc="C6BCC236">
      <w:numFmt w:val="decimal"/>
      <w:lvlText w:val=""/>
      <w:lvlJc w:val="left"/>
    </w:lvl>
    <w:lvl w:ilvl="7" w:tplc="08305832">
      <w:numFmt w:val="decimal"/>
      <w:lvlText w:val=""/>
      <w:lvlJc w:val="left"/>
    </w:lvl>
    <w:lvl w:ilvl="8" w:tplc="C964AEB4">
      <w:numFmt w:val="decimal"/>
      <w:lvlText w:val=""/>
      <w:lvlJc w:val="left"/>
    </w:lvl>
  </w:abstractNum>
  <w:abstractNum w:abstractNumId="28" w15:restartNumberingAfterBreak="0">
    <w:nsid w:val="000073D9"/>
    <w:multiLevelType w:val="hybridMultilevel"/>
    <w:tmpl w:val="F8CC3608"/>
    <w:lvl w:ilvl="0" w:tplc="5AC4678E">
      <w:start w:val="1"/>
      <w:numFmt w:val="bullet"/>
      <w:lvlText w:val=""/>
      <w:lvlJc w:val="left"/>
    </w:lvl>
    <w:lvl w:ilvl="1" w:tplc="219477D4">
      <w:numFmt w:val="decimal"/>
      <w:lvlText w:val=""/>
      <w:lvlJc w:val="left"/>
    </w:lvl>
    <w:lvl w:ilvl="2" w:tplc="A16405B0">
      <w:numFmt w:val="decimal"/>
      <w:lvlText w:val=""/>
      <w:lvlJc w:val="left"/>
    </w:lvl>
    <w:lvl w:ilvl="3" w:tplc="A2EE01A0">
      <w:numFmt w:val="decimal"/>
      <w:lvlText w:val=""/>
      <w:lvlJc w:val="left"/>
    </w:lvl>
    <w:lvl w:ilvl="4" w:tplc="8FD8DD22">
      <w:numFmt w:val="decimal"/>
      <w:lvlText w:val=""/>
      <w:lvlJc w:val="left"/>
    </w:lvl>
    <w:lvl w:ilvl="5" w:tplc="FF5E4CCA">
      <w:numFmt w:val="decimal"/>
      <w:lvlText w:val=""/>
      <w:lvlJc w:val="left"/>
    </w:lvl>
    <w:lvl w:ilvl="6" w:tplc="4150E97E">
      <w:numFmt w:val="decimal"/>
      <w:lvlText w:val=""/>
      <w:lvlJc w:val="left"/>
    </w:lvl>
    <w:lvl w:ilvl="7" w:tplc="34DE7A80">
      <w:numFmt w:val="decimal"/>
      <w:lvlText w:val=""/>
      <w:lvlJc w:val="left"/>
    </w:lvl>
    <w:lvl w:ilvl="8" w:tplc="EA847006">
      <w:numFmt w:val="decimal"/>
      <w:lvlText w:val=""/>
      <w:lvlJc w:val="left"/>
    </w:lvl>
  </w:abstractNum>
  <w:abstractNum w:abstractNumId="29" w15:restartNumberingAfterBreak="0">
    <w:nsid w:val="00007A61"/>
    <w:multiLevelType w:val="hybridMultilevel"/>
    <w:tmpl w:val="568A7DEE"/>
    <w:lvl w:ilvl="0" w:tplc="9EACD124">
      <w:start w:val="1"/>
      <w:numFmt w:val="bullet"/>
      <w:lvlText w:val="В"/>
      <w:lvlJc w:val="left"/>
    </w:lvl>
    <w:lvl w:ilvl="1" w:tplc="FBD85940">
      <w:numFmt w:val="decimal"/>
      <w:lvlText w:val=""/>
      <w:lvlJc w:val="left"/>
    </w:lvl>
    <w:lvl w:ilvl="2" w:tplc="6FD6D65A">
      <w:numFmt w:val="decimal"/>
      <w:lvlText w:val=""/>
      <w:lvlJc w:val="left"/>
    </w:lvl>
    <w:lvl w:ilvl="3" w:tplc="EBBC265A">
      <w:numFmt w:val="decimal"/>
      <w:lvlText w:val=""/>
      <w:lvlJc w:val="left"/>
    </w:lvl>
    <w:lvl w:ilvl="4" w:tplc="AD46F056">
      <w:numFmt w:val="decimal"/>
      <w:lvlText w:val=""/>
      <w:lvlJc w:val="left"/>
    </w:lvl>
    <w:lvl w:ilvl="5" w:tplc="D19CD6CC">
      <w:numFmt w:val="decimal"/>
      <w:lvlText w:val=""/>
      <w:lvlJc w:val="left"/>
    </w:lvl>
    <w:lvl w:ilvl="6" w:tplc="E1201822">
      <w:numFmt w:val="decimal"/>
      <w:lvlText w:val=""/>
      <w:lvlJc w:val="left"/>
    </w:lvl>
    <w:lvl w:ilvl="7" w:tplc="321CD2C2">
      <w:numFmt w:val="decimal"/>
      <w:lvlText w:val=""/>
      <w:lvlJc w:val="left"/>
    </w:lvl>
    <w:lvl w:ilvl="8" w:tplc="F654A78C">
      <w:numFmt w:val="decimal"/>
      <w:lvlText w:val=""/>
      <w:lvlJc w:val="left"/>
    </w:lvl>
  </w:abstractNum>
  <w:abstractNum w:abstractNumId="30" w15:restartNumberingAfterBreak="0">
    <w:nsid w:val="0227453D"/>
    <w:multiLevelType w:val="hybridMultilevel"/>
    <w:tmpl w:val="D7F80896"/>
    <w:lvl w:ilvl="0" w:tplc="03985E38">
      <w:start w:val="1"/>
      <w:numFmt w:val="bullet"/>
      <w:lvlText w:val=""/>
      <w:lvlJc w:val="left"/>
      <w:pPr>
        <w:ind w:left="1330" w:hanging="360"/>
      </w:p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1" w15:restartNumberingAfterBreak="0">
    <w:nsid w:val="03F04A71"/>
    <w:multiLevelType w:val="hybridMultilevel"/>
    <w:tmpl w:val="1BCA67CE"/>
    <w:lvl w:ilvl="0" w:tplc="03985E38">
      <w:start w:val="1"/>
      <w:numFmt w:val="bullet"/>
      <w:lvlText w:val="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E36E59"/>
    <w:multiLevelType w:val="hybridMultilevel"/>
    <w:tmpl w:val="1E586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6B1D7E"/>
    <w:multiLevelType w:val="hybridMultilevel"/>
    <w:tmpl w:val="5914D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5F27C4"/>
    <w:multiLevelType w:val="hybridMultilevel"/>
    <w:tmpl w:val="18AE5314"/>
    <w:lvl w:ilvl="0" w:tplc="1C8C679A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9162114"/>
    <w:multiLevelType w:val="multilevel"/>
    <w:tmpl w:val="6BAE7B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1A962D06"/>
    <w:multiLevelType w:val="hybridMultilevel"/>
    <w:tmpl w:val="E2347D7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1B1B1B56"/>
    <w:multiLevelType w:val="hybridMultilevel"/>
    <w:tmpl w:val="EABE3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CC7272"/>
    <w:multiLevelType w:val="hybridMultilevel"/>
    <w:tmpl w:val="A2AC1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D53215"/>
    <w:multiLevelType w:val="hybridMultilevel"/>
    <w:tmpl w:val="1ABC1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C91AB5"/>
    <w:multiLevelType w:val="hybridMultilevel"/>
    <w:tmpl w:val="69B85680"/>
    <w:lvl w:ilvl="0" w:tplc="FFE22AE8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  <w:color w:val="1F497D"/>
      </w:rPr>
    </w:lvl>
    <w:lvl w:ilvl="1" w:tplc="3BA80E92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281D29CF"/>
    <w:multiLevelType w:val="hybridMultilevel"/>
    <w:tmpl w:val="B6881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C590D"/>
    <w:multiLevelType w:val="hybridMultilevel"/>
    <w:tmpl w:val="1F7E83DC"/>
    <w:lvl w:ilvl="0" w:tplc="23944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B871D57"/>
    <w:multiLevelType w:val="hybridMultilevel"/>
    <w:tmpl w:val="992A68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1950D0"/>
    <w:multiLevelType w:val="hybridMultilevel"/>
    <w:tmpl w:val="2068B1A4"/>
    <w:lvl w:ilvl="0" w:tplc="041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3280CE68">
      <w:numFmt w:val="decimal"/>
      <w:lvlText w:val=""/>
      <w:lvlJc w:val="left"/>
    </w:lvl>
    <w:lvl w:ilvl="2" w:tplc="2528B570">
      <w:numFmt w:val="decimal"/>
      <w:lvlText w:val=""/>
      <w:lvlJc w:val="left"/>
    </w:lvl>
    <w:lvl w:ilvl="3" w:tplc="F8044080">
      <w:numFmt w:val="decimal"/>
      <w:lvlText w:val=""/>
      <w:lvlJc w:val="left"/>
    </w:lvl>
    <w:lvl w:ilvl="4" w:tplc="DE086482">
      <w:numFmt w:val="decimal"/>
      <w:lvlText w:val=""/>
      <w:lvlJc w:val="left"/>
    </w:lvl>
    <w:lvl w:ilvl="5" w:tplc="37089044">
      <w:numFmt w:val="decimal"/>
      <w:lvlText w:val=""/>
      <w:lvlJc w:val="left"/>
    </w:lvl>
    <w:lvl w:ilvl="6" w:tplc="1D3856E2">
      <w:numFmt w:val="decimal"/>
      <w:lvlText w:val=""/>
      <w:lvlJc w:val="left"/>
    </w:lvl>
    <w:lvl w:ilvl="7" w:tplc="82C43DF2">
      <w:numFmt w:val="decimal"/>
      <w:lvlText w:val=""/>
      <w:lvlJc w:val="left"/>
    </w:lvl>
    <w:lvl w:ilvl="8" w:tplc="BCDE1BF4">
      <w:numFmt w:val="decimal"/>
      <w:lvlText w:val=""/>
      <w:lvlJc w:val="left"/>
    </w:lvl>
  </w:abstractNum>
  <w:abstractNum w:abstractNumId="45" w15:restartNumberingAfterBreak="0">
    <w:nsid w:val="2D8C0CF3"/>
    <w:multiLevelType w:val="hybridMultilevel"/>
    <w:tmpl w:val="AB64C530"/>
    <w:lvl w:ilvl="0" w:tplc="99F4B9F6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6" w15:restartNumberingAfterBreak="0">
    <w:nsid w:val="2E035405"/>
    <w:multiLevelType w:val="hybridMultilevel"/>
    <w:tmpl w:val="303E2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2ED3212D"/>
    <w:multiLevelType w:val="hybridMultilevel"/>
    <w:tmpl w:val="DC7882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0F7DA9"/>
    <w:multiLevelType w:val="hybridMultilevel"/>
    <w:tmpl w:val="37ECBF82"/>
    <w:lvl w:ilvl="0" w:tplc="AA7CC17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0710CF4"/>
    <w:multiLevelType w:val="hybridMultilevel"/>
    <w:tmpl w:val="54944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E21C05"/>
    <w:multiLevelType w:val="multilevel"/>
    <w:tmpl w:val="38B0267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</w:rPr>
    </w:lvl>
  </w:abstractNum>
  <w:abstractNum w:abstractNumId="51" w15:restartNumberingAfterBreak="0">
    <w:nsid w:val="32757E0C"/>
    <w:multiLevelType w:val="hybridMultilevel"/>
    <w:tmpl w:val="BFE40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9477D0"/>
    <w:multiLevelType w:val="hybridMultilevel"/>
    <w:tmpl w:val="543CE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1E21E2"/>
    <w:multiLevelType w:val="hybridMultilevel"/>
    <w:tmpl w:val="4644FE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AD1C36"/>
    <w:multiLevelType w:val="hybridMultilevel"/>
    <w:tmpl w:val="F9C6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9179A6"/>
    <w:multiLevelType w:val="hybridMultilevel"/>
    <w:tmpl w:val="57887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BD7996"/>
    <w:multiLevelType w:val="hybridMultilevel"/>
    <w:tmpl w:val="D3C25A3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174D96"/>
    <w:multiLevelType w:val="hybridMultilevel"/>
    <w:tmpl w:val="1BD4E98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61165DB"/>
    <w:multiLevelType w:val="hybridMultilevel"/>
    <w:tmpl w:val="C0E4A2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25932"/>
    <w:multiLevelType w:val="hybridMultilevel"/>
    <w:tmpl w:val="43B8621C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0" w15:restartNumberingAfterBreak="0">
    <w:nsid w:val="68AB489B"/>
    <w:multiLevelType w:val="hybridMultilevel"/>
    <w:tmpl w:val="35D81DB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E114CD5"/>
    <w:multiLevelType w:val="hybridMultilevel"/>
    <w:tmpl w:val="A418CD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728A7852"/>
    <w:multiLevelType w:val="hybridMultilevel"/>
    <w:tmpl w:val="9D487730"/>
    <w:lvl w:ilvl="0" w:tplc="DA9898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67C569A"/>
    <w:multiLevelType w:val="hybridMultilevel"/>
    <w:tmpl w:val="9E0A8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7A7851"/>
    <w:multiLevelType w:val="hybridMultilevel"/>
    <w:tmpl w:val="CD4A3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454F47"/>
    <w:multiLevelType w:val="hybridMultilevel"/>
    <w:tmpl w:val="5DEA67EA"/>
    <w:lvl w:ilvl="0" w:tplc="03985E38">
      <w:start w:val="1"/>
      <w:numFmt w:val="bullet"/>
      <w:lvlText w:val=""/>
      <w:lvlJc w:val="left"/>
      <w:pPr>
        <w:ind w:left="1200" w:hanging="360"/>
      </w:p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7"/>
  </w:num>
  <w:num w:numId="5">
    <w:abstractNumId w:val="15"/>
  </w:num>
  <w:num w:numId="6">
    <w:abstractNumId w:val="5"/>
  </w:num>
  <w:num w:numId="7">
    <w:abstractNumId w:val="13"/>
  </w:num>
  <w:num w:numId="8">
    <w:abstractNumId w:val="28"/>
  </w:num>
  <w:num w:numId="9">
    <w:abstractNumId w:val="9"/>
  </w:num>
  <w:num w:numId="10">
    <w:abstractNumId w:val="6"/>
  </w:num>
  <w:num w:numId="11">
    <w:abstractNumId w:val="16"/>
  </w:num>
  <w:num w:numId="12">
    <w:abstractNumId w:val="21"/>
  </w:num>
  <w:num w:numId="13">
    <w:abstractNumId w:val="17"/>
  </w:num>
  <w:num w:numId="14">
    <w:abstractNumId w:val="20"/>
  </w:num>
  <w:num w:numId="15">
    <w:abstractNumId w:val="24"/>
  </w:num>
  <w:num w:numId="16">
    <w:abstractNumId w:val="4"/>
  </w:num>
  <w:num w:numId="17">
    <w:abstractNumId w:val="14"/>
  </w:num>
  <w:num w:numId="18">
    <w:abstractNumId w:val="25"/>
  </w:num>
  <w:num w:numId="19">
    <w:abstractNumId w:val="27"/>
  </w:num>
  <w:num w:numId="20">
    <w:abstractNumId w:val="2"/>
  </w:num>
  <w:num w:numId="21">
    <w:abstractNumId w:val="29"/>
  </w:num>
  <w:num w:numId="22">
    <w:abstractNumId w:val="10"/>
  </w:num>
  <w:num w:numId="23">
    <w:abstractNumId w:val="18"/>
  </w:num>
  <w:num w:numId="24">
    <w:abstractNumId w:val="12"/>
  </w:num>
  <w:num w:numId="25">
    <w:abstractNumId w:val="11"/>
  </w:num>
  <w:num w:numId="26">
    <w:abstractNumId w:val="3"/>
  </w:num>
  <w:num w:numId="27">
    <w:abstractNumId w:val="23"/>
  </w:num>
  <w:num w:numId="28">
    <w:abstractNumId w:val="0"/>
  </w:num>
  <w:num w:numId="29">
    <w:abstractNumId w:val="26"/>
  </w:num>
  <w:num w:numId="30">
    <w:abstractNumId w:val="22"/>
  </w:num>
  <w:num w:numId="31">
    <w:abstractNumId w:val="45"/>
  </w:num>
  <w:num w:numId="32">
    <w:abstractNumId w:val="64"/>
  </w:num>
  <w:num w:numId="33">
    <w:abstractNumId w:val="63"/>
  </w:num>
  <w:num w:numId="34">
    <w:abstractNumId w:val="37"/>
  </w:num>
  <w:num w:numId="35">
    <w:abstractNumId w:val="41"/>
  </w:num>
  <w:num w:numId="36">
    <w:abstractNumId w:val="58"/>
  </w:num>
  <w:num w:numId="37">
    <w:abstractNumId w:val="57"/>
  </w:num>
  <w:num w:numId="38">
    <w:abstractNumId w:val="43"/>
  </w:num>
  <w:num w:numId="39">
    <w:abstractNumId w:val="38"/>
  </w:num>
  <w:num w:numId="40">
    <w:abstractNumId w:val="39"/>
  </w:num>
  <w:num w:numId="41">
    <w:abstractNumId w:val="32"/>
  </w:num>
  <w:num w:numId="42">
    <w:abstractNumId w:val="40"/>
  </w:num>
  <w:num w:numId="43">
    <w:abstractNumId w:val="53"/>
  </w:num>
  <w:num w:numId="44">
    <w:abstractNumId w:val="52"/>
  </w:num>
  <w:num w:numId="45">
    <w:abstractNumId w:val="51"/>
  </w:num>
  <w:num w:numId="46">
    <w:abstractNumId w:val="55"/>
  </w:num>
  <w:num w:numId="47">
    <w:abstractNumId w:val="33"/>
  </w:num>
  <w:num w:numId="48">
    <w:abstractNumId w:val="54"/>
  </w:num>
  <w:num w:numId="49">
    <w:abstractNumId w:val="30"/>
  </w:num>
  <w:num w:numId="50">
    <w:abstractNumId w:val="42"/>
  </w:num>
  <w:num w:numId="51">
    <w:abstractNumId w:val="60"/>
  </w:num>
  <w:num w:numId="52">
    <w:abstractNumId w:val="47"/>
  </w:num>
  <w:num w:numId="53">
    <w:abstractNumId w:val="31"/>
  </w:num>
  <w:num w:numId="54">
    <w:abstractNumId w:val="46"/>
  </w:num>
  <w:num w:numId="55">
    <w:abstractNumId w:val="65"/>
  </w:num>
  <w:num w:numId="56">
    <w:abstractNumId w:val="59"/>
  </w:num>
  <w:num w:numId="57">
    <w:abstractNumId w:val="61"/>
  </w:num>
  <w:num w:numId="58">
    <w:abstractNumId w:val="36"/>
  </w:num>
  <w:num w:numId="59">
    <w:abstractNumId w:val="44"/>
  </w:num>
  <w:num w:numId="60">
    <w:abstractNumId w:val="34"/>
  </w:num>
  <w:num w:numId="61">
    <w:abstractNumId w:val="56"/>
  </w:num>
  <w:num w:numId="62">
    <w:abstractNumId w:val="49"/>
  </w:num>
  <w:num w:numId="63">
    <w:abstractNumId w:val="48"/>
  </w:num>
  <w:num w:numId="64">
    <w:abstractNumId w:val="35"/>
  </w:num>
  <w:num w:numId="65">
    <w:abstractNumId w:val="50"/>
  </w:num>
  <w:num w:numId="66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43"/>
    <w:rsid w:val="000009D4"/>
    <w:rsid w:val="00000A33"/>
    <w:rsid w:val="0000681B"/>
    <w:rsid w:val="000071F6"/>
    <w:rsid w:val="00007B31"/>
    <w:rsid w:val="00010337"/>
    <w:rsid w:val="00014A14"/>
    <w:rsid w:val="00016065"/>
    <w:rsid w:val="0002766A"/>
    <w:rsid w:val="00027736"/>
    <w:rsid w:val="00031630"/>
    <w:rsid w:val="00035418"/>
    <w:rsid w:val="00037048"/>
    <w:rsid w:val="00040D51"/>
    <w:rsid w:val="0004193D"/>
    <w:rsid w:val="00041D95"/>
    <w:rsid w:val="000422BA"/>
    <w:rsid w:val="00043A39"/>
    <w:rsid w:val="00043FBC"/>
    <w:rsid w:val="0004435E"/>
    <w:rsid w:val="000504D9"/>
    <w:rsid w:val="000528FD"/>
    <w:rsid w:val="00054D09"/>
    <w:rsid w:val="00054F85"/>
    <w:rsid w:val="00057C5A"/>
    <w:rsid w:val="000604E1"/>
    <w:rsid w:val="00061372"/>
    <w:rsid w:val="000700D1"/>
    <w:rsid w:val="00071D23"/>
    <w:rsid w:val="000729D0"/>
    <w:rsid w:val="00074056"/>
    <w:rsid w:val="0007454F"/>
    <w:rsid w:val="00074B7E"/>
    <w:rsid w:val="00075755"/>
    <w:rsid w:val="00076D93"/>
    <w:rsid w:val="00080131"/>
    <w:rsid w:val="00082022"/>
    <w:rsid w:val="0008242A"/>
    <w:rsid w:val="00083298"/>
    <w:rsid w:val="00085826"/>
    <w:rsid w:val="00091707"/>
    <w:rsid w:val="00091788"/>
    <w:rsid w:val="0009396A"/>
    <w:rsid w:val="00095F24"/>
    <w:rsid w:val="000A2812"/>
    <w:rsid w:val="000A2996"/>
    <w:rsid w:val="000A40ED"/>
    <w:rsid w:val="000A55B0"/>
    <w:rsid w:val="000A6115"/>
    <w:rsid w:val="000A7D2A"/>
    <w:rsid w:val="000B2FC7"/>
    <w:rsid w:val="000B6C5B"/>
    <w:rsid w:val="000C0538"/>
    <w:rsid w:val="000C0EFF"/>
    <w:rsid w:val="000C43C8"/>
    <w:rsid w:val="000C4E1F"/>
    <w:rsid w:val="000C5394"/>
    <w:rsid w:val="000D3B9D"/>
    <w:rsid w:val="000D3D19"/>
    <w:rsid w:val="000D50ED"/>
    <w:rsid w:val="000D6EF3"/>
    <w:rsid w:val="000E316B"/>
    <w:rsid w:val="000E388C"/>
    <w:rsid w:val="000F0E06"/>
    <w:rsid w:val="000F187C"/>
    <w:rsid w:val="000F2E92"/>
    <w:rsid w:val="000F6F46"/>
    <w:rsid w:val="000F73BC"/>
    <w:rsid w:val="00100231"/>
    <w:rsid w:val="0010118E"/>
    <w:rsid w:val="00101697"/>
    <w:rsid w:val="00106AF6"/>
    <w:rsid w:val="00106C99"/>
    <w:rsid w:val="001071C0"/>
    <w:rsid w:val="00112B2A"/>
    <w:rsid w:val="001148A4"/>
    <w:rsid w:val="0012042C"/>
    <w:rsid w:val="00124BA1"/>
    <w:rsid w:val="00124D35"/>
    <w:rsid w:val="00125886"/>
    <w:rsid w:val="001273A9"/>
    <w:rsid w:val="00127C84"/>
    <w:rsid w:val="001309C6"/>
    <w:rsid w:val="00132A2B"/>
    <w:rsid w:val="00135E17"/>
    <w:rsid w:val="00136DFA"/>
    <w:rsid w:val="0014042D"/>
    <w:rsid w:val="001407EE"/>
    <w:rsid w:val="00143913"/>
    <w:rsid w:val="0014596E"/>
    <w:rsid w:val="00147FBC"/>
    <w:rsid w:val="00160B7F"/>
    <w:rsid w:val="001632D1"/>
    <w:rsid w:val="001637EF"/>
    <w:rsid w:val="00163C1D"/>
    <w:rsid w:val="00172454"/>
    <w:rsid w:val="0017421F"/>
    <w:rsid w:val="001760D1"/>
    <w:rsid w:val="0017779C"/>
    <w:rsid w:val="00181EA5"/>
    <w:rsid w:val="00183157"/>
    <w:rsid w:val="001845B5"/>
    <w:rsid w:val="00184836"/>
    <w:rsid w:val="00186772"/>
    <w:rsid w:val="00187513"/>
    <w:rsid w:val="001902B4"/>
    <w:rsid w:val="001930B3"/>
    <w:rsid w:val="00193A9D"/>
    <w:rsid w:val="00193B98"/>
    <w:rsid w:val="00194392"/>
    <w:rsid w:val="001969A8"/>
    <w:rsid w:val="00197073"/>
    <w:rsid w:val="001A2390"/>
    <w:rsid w:val="001A4CE1"/>
    <w:rsid w:val="001A50F2"/>
    <w:rsid w:val="001A57AE"/>
    <w:rsid w:val="001B0206"/>
    <w:rsid w:val="001B0D76"/>
    <w:rsid w:val="001B24BB"/>
    <w:rsid w:val="001B5176"/>
    <w:rsid w:val="001B667A"/>
    <w:rsid w:val="001C0409"/>
    <w:rsid w:val="001C083F"/>
    <w:rsid w:val="001C5668"/>
    <w:rsid w:val="001C6821"/>
    <w:rsid w:val="001C7B5F"/>
    <w:rsid w:val="001D4B97"/>
    <w:rsid w:val="001D62BF"/>
    <w:rsid w:val="001D7B2F"/>
    <w:rsid w:val="001E5403"/>
    <w:rsid w:val="001E5A7B"/>
    <w:rsid w:val="001E73D6"/>
    <w:rsid w:val="001F30D0"/>
    <w:rsid w:val="001F38FF"/>
    <w:rsid w:val="001F3944"/>
    <w:rsid w:val="001F4B3E"/>
    <w:rsid w:val="00202911"/>
    <w:rsid w:val="00202DA7"/>
    <w:rsid w:val="00202EC3"/>
    <w:rsid w:val="002043C2"/>
    <w:rsid w:val="002106BC"/>
    <w:rsid w:val="00210A0D"/>
    <w:rsid w:val="00211CAA"/>
    <w:rsid w:val="002129A8"/>
    <w:rsid w:val="00214139"/>
    <w:rsid w:val="00215CC2"/>
    <w:rsid w:val="00217E13"/>
    <w:rsid w:val="002200FA"/>
    <w:rsid w:val="00221D91"/>
    <w:rsid w:val="002224FF"/>
    <w:rsid w:val="00224925"/>
    <w:rsid w:val="00225D85"/>
    <w:rsid w:val="00226E84"/>
    <w:rsid w:val="002344C3"/>
    <w:rsid w:val="00234568"/>
    <w:rsid w:val="00237117"/>
    <w:rsid w:val="0023744D"/>
    <w:rsid w:val="0024160B"/>
    <w:rsid w:val="002420A5"/>
    <w:rsid w:val="00243AAB"/>
    <w:rsid w:val="00247172"/>
    <w:rsid w:val="00250ABB"/>
    <w:rsid w:val="00250FD5"/>
    <w:rsid w:val="00251CA9"/>
    <w:rsid w:val="00253996"/>
    <w:rsid w:val="002543E0"/>
    <w:rsid w:val="00254D05"/>
    <w:rsid w:val="00265DAE"/>
    <w:rsid w:val="002665F8"/>
    <w:rsid w:val="002679C1"/>
    <w:rsid w:val="00271F6A"/>
    <w:rsid w:val="00272724"/>
    <w:rsid w:val="002729E7"/>
    <w:rsid w:val="002746D0"/>
    <w:rsid w:val="0027485F"/>
    <w:rsid w:val="00275D20"/>
    <w:rsid w:val="00281152"/>
    <w:rsid w:val="00282296"/>
    <w:rsid w:val="0029040E"/>
    <w:rsid w:val="00291A2B"/>
    <w:rsid w:val="0029266A"/>
    <w:rsid w:val="00292D8F"/>
    <w:rsid w:val="00295EFF"/>
    <w:rsid w:val="00296208"/>
    <w:rsid w:val="00297D4F"/>
    <w:rsid w:val="002A2ABD"/>
    <w:rsid w:val="002A3DB4"/>
    <w:rsid w:val="002A611A"/>
    <w:rsid w:val="002B11B1"/>
    <w:rsid w:val="002B38CF"/>
    <w:rsid w:val="002B7962"/>
    <w:rsid w:val="002C033D"/>
    <w:rsid w:val="002C3D51"/>
    <w:rsid w:val="002C5155"/>
    <w:rsid w:val="002C6410"/>
    <w:rsid w:val="002D1C05"/>
    <w:rsid w:val="002D6449"/>
    <w:rsid w:val="002D7DD7"/>
    <w:rsid w:val="002E0631"/>
    <w:rsid w:val="002E0E09"/>
    <w:rsid w:val="002E1483"/>
    <w:rsid w:val="002E3CAE"/>
    <w:rsid w:val="002E5CF8"/>
    <w:rsid w:val="002F23FA"/>
    <w:rsid w:val="002F43AB"/>
    <w:rsid w:val="002F4C32"/>
    <w:rsid w:val="00303873"/>
    <w:rsid w:val="00305EC7"/>
    <w:rsid w:val="00311D18"/>
    <w:rsid w:val="00312331"/>
    <w:rsid w:val="003127F3"/>
    <w:rsid w:val="00313F11"/>
    <w:rsid w:val="00314252"/>
    <w:rsid w:val="003147B6"/>
    <w:rsid w:val="00316CA7"/>
    <w:rsid w:val="00316D59"/>
    <w:rsid w:val="00317A36"/>
    <w:rsid w:val="00320A86"/>
    <w:rsid w:val="003213DB"/>
    <w:rsid w:val="00321C17"/>
    <w:rsid w:val="00323994"/>
    <w:rsid w:val="00323B50"/>
    <w:rsid w:val="00324A7E"/>
    <w:rsid w:val="003259DD"/>
    <w:rsid w:val="003306E6"/>
    <w:rsid w:val="00333248"/>
    <w:rsid w:val="003406F3"/>
    <w:rsid w:val="003410FE"/>
    <w:rsid w:val="00341576"/>
    <w:rsid w:val="003420EE"/>
    <w:rsid w:val="00343AB5"/>
    <w:rsid w:val="00343C03"/>
    <w:rsid w:val="00343D5B"/>
    <w:rsid w:val="00343FCB"/>
    <w:rsid w:val="00347E6A"/>
    <w:rsid w:val="00354182"/>
    <w:rsid w:val="00355E3D"/>
    <w:rsid w:val="00361086"/>
    <w:rsid w:val="00362E37"/>
    <w:rsid w:val="00364CE1"/>
    <w:rsid w:val="003656F9"/>
    <w:rsid w:val="00373B10"/>
    <w:rsid w:val="0037738F"/>
    <w:rsid w:val="00377496"/>
    <w:rsid w:val="00377733"/>
    <w:rsid w:val="00381C6A"/>
    <w:rsid w:val="00383AD6"/>
    <w:rsid w:val="0038563E"/>
    <w:rsid w:val="00390343"/>
    <w:rsid w:val="0039084B"/>
    <w:rsid w:val="00396C90"/>
    <w:rsid w:val="003A0BDD"/>
    <w:rsid w:val="003A30D6"/>
    <w:rsid w:val="003A3A2B"/>
    <w:rsid w:val="003A70D0"/>
    <w:rsid w:val="003B03EF"/>
    <w:rsid w:val="003B07B5"/>
    <w:rsid w:val="003B0822"/>
    <w:rsid w:val="003B087A"/>
    <w:rsid w:val="003B0F64"/>
    <w:rsid w:val="003B1A72"/>
    <w:rsid w:val="003B50C3"/>
    <w:rsid w:val="003C76A6"/>
    <w:rsid w:val="003D2E45"/>
    <w:rsid w:val="003D6B0C"/>
    <w:rsid w:val="003D753A"/>
    <w:rsid w:val="003E2581"/>
    <w:rsid w:val="003E34DE"/>
    <w:rsid w:val="003F1D6F"/>
    <w:rsid w:val="003F3A1B"/>
    <w:rsid w:val="00402129"/>
    <w:rsid w:val="00406209"/>
    <w:rsid w:val="0040778D"/>
    <w:rsid w:val="004100F3"/>
    <w:rsid w:val="0041222F"/>
    <w:rsid w:val="00413AF2"/>
    <w:rsid w:val="00414D9E"/>
    <w:rsid w:val="00415000"/>
    <w:rsid w:val="004205E9"/>
    <w:rsid w:val="00423EF4"/>
    <w:rsid w:val="00427587"/>
    <w:rsid w:val="00430F06"/>
    <w:rsid w:val="00432498"/>
    <w:rsid w:val="00432909"/>
    <w:rsid w:val="004362D2"/>
    <w:rsid w:val="00440C38"/>
    <w:rsid w:val="0044406A"/>
    <w:rsid w:val="00445687"/>
    <w:rsid w:val="004459BD"/>
    <w:rsid w:val="00446CB9"/>
    <w:rsid w:val="00447AA4"/>
    <w:rsid w:val="00451886"/>
    <w:rsid w:val="0045324D"/>
    <w:rsid w:val="00454129"/>
    <w:rsid w:val="00455916"/>
    <w:rsid w:val="00457565"/>
    <w:rsid w:val="00461845"/>
    <w:rsid w:val="0046437C"/>
    <w:rsid w:val="0046530B"/>
    <w:rsid w:val="00470473"/>
    <w:rsid w:val="004757A7"/>
    <w:rsid w:val="0047735F"/>
    <w:rsid w:val="0047772D"/>
    <w:rsid w:val="00477A22"/>
    <w:rsid w:val="00477BA6"/>
    <w:rsid w:val="00480DA4"/>
    <w:rsid w:val="00484721"/>
    <w:rsid w:val="00484A6E"/>
    <w:rsid w:val="00485279"/>
    <w:rsid w:val="0048641C"/>
    <w:rsid w:val="00487845"/>
    <w:rsid w:val="0049241F"/>
    <w:rsid w:val="00494B55"/>
    <w:rsid w:val="00494D5F"/>
    <w:rsid w:val="00496058"/>
    <w:rsid w:val="00497EB8"/>
    <w:rsid w:val="004A0A95"/>
    <w:rsid w:val="004A3306"/>
    <w:rsid w:val="004A3F7D"/>
    <w:rsid w:val="004A6571"/>
    <w:rsid w:val="004B2571"/>
    <w:rsid w:val="004B2756"/>
    <w:rsid w:val="004B2E33"/>
    <w:rsid w:val="004B2F8A"/>
    <w:rsid w:val="004B795F"/>
    <w:rsid w:val="004C0549"/>
    <w:rsid w:val="004C2DAD"/>
    <w:rsid w:val="004C7ED8"/>
    <w:rsid w:val="004D77E0"/>
    <w:rsid w:val="004E1C73"/>
    <w:rsid w:val="004E1CD7"/>
    <w:rsid w:val="004E1DF6"/>
    <w:rsid w:val="004E606B"/>
    <w:rsid w:val="004E6DBD"/>
    <w:rsid w:val="004F1ADC"/>
    <w:rsid w:val="004F27CD"/>
    <w:rsid w:val="004F2FDE"/>
    <w:rsid w:val="004F3E64"/>
    <w:rsid w:val="004F5231"/>
    <w:rsid w:val="004F6E43"/>
    <w:rsid w:val="004F7256"/>
    <w:rsid w:val="00504C33"/>
    <w:rsid w:val="00504DCE"/>
    <w:rsid w:val="00506EF1"/>
    <w:rsid w:val="00510402"/>
    <w:rsid w:val="00510A67"/>
    <w:rsid w:val="005177E9"/>
    <w:rsid w:val="00517803"/>
    <w:rsid w:val="00517C6B"/>
    <w:rsid w:val="00522664"/>
    <w:rsid w:val="0052337C"/>
    <w:rsid w:val="005245F8"/>
    <w:rsid w:val="005262C0"/>
    <w:rsid w:val="0052705E"/>
    <w:rsid w:val="00531280"/>
    <w:rsid w:val="00532CD6"/>
    <w:rsid w:val="00533516"/>
    <w:rsid w:val="00534D64"/>
    <w:rsid w:val="00537D72"/>
    <w:rsid w:val="0054502A"/>
    <w:rsid w:val="005537A4"/>
    <w:rsid w:val="005549C8"/>
    <w:rsid w:val="00554C29"/>
    <w:rsid w:val="00554D69"/>
    <w:rsid w:val="00555406"/>
    <w:rsid w:val="00555EAE"/>
    <w:rsid w:val="0055678F"/>
    <w:rsid w:val="005610D6"/>
    <w:rsid w:val="00563248"/>
    <w:rsid w:val="00564F4A"/>
    <w:rsid w:val="00570E9D"/>
    <w:rsid w:val="00571529"/>
    <w:rsid w:val="00571FE5"/>
    <w:rsid w:val="005765D2"/>
    <w:rsid w:val="00582312"/>
    <w:rsid w:val="00584AD0"/>
    <w:rsid w:val="005864EF"/>
    <w:rsid w:val="0059128C"/>
    <w:rsid w:val="00592D6C"/>
    <w:rsid w:val="005A2151"/>
    <w:rsid w:val="005A2B2A"/>
    <w:rsid w:val="005A2EC2"/>
    <w:rsid w:val="005A40E8"/>
    <w:rsid w:val="005A64F9"/>
    <w:rsid w:val="005A719E"/>
    <w:rsid w:val="005A7E08"/>
    <w:rsid w:val="005B0A3C"/>
    <w:rsid w:val="005B0B26"/>
    <w:rsid w:val="005B1C81"/>
    <w:rsid w:val="005B28F1"/>
    <w:rsid w:val="005B2E04"/>
    <w:rsid w:val="005B6007"/>
    <w:rsid w:val="005C29F8"/>
    <w:rsid w:val="005D0020"/>
    <w:rsid w:val="005D04D4"/>
    <w:rsid w:val="005D1BBC"/>
    <w:rsid w:val="005D2C73"/>
    <w:rsid w:val="005D3851"/>
    <w:rsid w:val="005D5089"/>
    <w:rsid w:val="005D667C"/>
    <w:rsid w:val="005D7106"/>
    <w:rsid w:val="005E1E0B"/>
    <w:rsid w:val="005E5CB6"/>
    <w:rsid w:val="005E612E"/>
    <w:rsid w:val="005F4333"/>
    <w:rsid w:val="005F4CB9"/>
    <w:rsid w:val="005F7122"/>
    <w:rsid w:val="00601E2B"/>
    <w:rsid w:val="00603627"/>
    <w:rsid w:val="0060462D"/>
    <w:rsid w:val="0060573B"/>
    <w:rsid w:val="00605B4C"/>
    <w:rsid w:val="00605CD0"/>
    <w:rsid w:val="0061028A"/>
    <w:rsid w:val="006103DC"/>
    <w:rsid w:val="0061055A"/>
    <w:rsid w:val="006110A5"/>
    <w:rsid w:val="00611FA6"/>
    <w:rsid w:val="00615F0A"/>
    <w:rsid w:val="006170F5"/>
    <w:rsid w:val="0062061E"/>
    <w:rsid w:val="00620D9D"/>
    <w:rsid w:val="006223D1"/>
    <w:rsid w:val="00622CBB"/>
    <w:rsid w:val="00623465"/>
    <w:rsid w:val="0062448E"/>
    <w:rsid w:val="006254B6"/>
    <w:rsid w:val="006259D5"/>
    <w:rsid w:val="006264C4"/>
    <w:rsid w:val="00627457"/>
    <w:rsid w:val="0062759B"/>
    <w:rsid w:val="00632860"/>
    <w:rsid w:val="0063455B"/>
    <w:rsid w:val="0064257A"/>
    <w:rsid w:val="0064263D"/>
    <w:rsid w:val="00643778"/>
    <w:rsid w:val="00644B8F"/>
    <w:rsid w:val="00644BA9"/>
    <w:rsid w:val="00644BFB"/>
    <w:rsid w:val="00645EA5"/>
    <w:rsid w:val="00647E58"/>
    <w:rsid w:val="00651BD3"/>
    <w:rsid w:val="006567FA"/>
    <w:rsid w:val="00661BE4"/>
    <w:rsid w:val="006632BA"/>
    <w:rsid w:val="006652E1"/>
    <w:rsid w:val="00665F3D"/>
    <w:rsid w:val="00666C66"/>
    <w:rsid w:val="00670532"/>
    <w:rsid w:val="006722CB"/>
    <w:rsid w:val="006755BA"/>
    <w:rsid w:val="00675C8C"/>
    <w:rsid w:val="00675DFC"/>
    <w:rsid w:val="00675EA4"/>
    <w:rsid w:val="006851C8"/>
    <w:rsid w:val="006917C9"/>
    <w:rsid w:val="006944C5"/>
    <w:rsid w:val="00697F23"/>
    <w:rsid w:val="006A0CA3"/>
    <w:rsid w:val="006A122F"/>
    <w:rsid w:val="006A2B2F"/>
    <w:rsid w:val="006A6B24"/>
    <w:rsid w:val="006B0C2D"/>
    <w:rsid w:val="006B768A"/>
    <w:rsid w:val="006C355B"/>
    <w:rsid w:val="006C4A2F"/>
    <w:rsid w:val="006C622E"/>
    <w:rsid w:val="006C68B1"/>
    <w:rsid w:val="006D0349"/>
    <w:rsid w:val="006D0800"/>
    <w:rsid w:val="006D0A73"/>
    <w:rsid w:val="006D3CC5"/>
    <w:rsid w:val="006D4638"/>
    <w:rsid w:val="006D7DBE"/>
    <w:rsid w:val="006E2AE4"/>
    <w:rsid w:val="006E32D8"/>
    <w:rsid w:val="006E48EB"/>
    <w:rsid w:val="006E6236"/>
    <w:rsid w:val="006E7F8B"/>
    <w:rsid w:val="006F1A2F"/>
    <w:rsid w:val="006F520B"/>
    <w:rsid w:val="006F5B16"/>
    <w:rsid w:val="007005C4"/>
    <w:rsid w:val="0070090D"/>
    <w:rsid w:val="00702FD6"/>
    <w:rsid w:val="00710243"/>
    <w:rsid w:val="00712077"/>
    <w:rsid w:val="007302EF"/>
    <w:rsid w:val="00730A78"/>
    <w:rsid w:val="0073143B"/>
    <w:rsid w:val="00733FDE"/>
    <w:rsid w:val="00736156"/>
    <w:rsid w:val="00737291"/>
    <w:rsid w:val="00742560"/>
    <w:rsid w:val="00744143"/>
    <w:rsid w:val="007548AD"/>
    <w:rsid w:val="007576FD"/>
    <w:rsid w:val="00761FA2"/>
    <w:rsid w:val="007665FA"/>
    <w:rsid w:val="00767910"/>
    <w:rsid w:val="0077190F"/>
    <w:rsid w:val="00772934"/>
    <w:rsid w:val="00774262"/>
    <w:rsid w:val="00777067"/>
    <w:rsid w:val="00782445"/>
    <w:rsid w:val="00782D78"/>
    <w:rsid w:val="00786113"/>
    <w:rsid w:val="00787F4C"/>
    <w:rsid w:val="00791747"/>
    <w:rsid w:val="00797BDD"/>
    <w:rsid w:val="007A2172"/>
    <w:rsid w:val="007A36E2"/>
    <w:rsid w:val="007A38D1"/>
    <w:rsid w:val="007A55CF"/>
    <w:rsid w:val="007A7C9B"/>
    <w:rsid w:val="007B4AC6"/>
    <w:rsid w:val="007B7ECF"/>
    <w:rsid w:val="007C01FC"/>
    <w:rsid w:val="007C074B"/>
    <w:rsid w:val="007C1754"/>
    <w:rsid w:val="007C38F9"/>
    <w:rsid w:val="007C6F89"/>
    <w:rsid w:val="007D0912"/>
    <w:rsid w:val="007D260A"/>
    <w:rsid w:val="007D2A10"/>
    <w:rsid w:val="007D4D22"/>
    <w:rsid w:val="007D7A49"/>
    <w:rsid w:val="007E0CCB"/>
    <w:rsid w:val="007E2539"/>
    <w:rsid w:val="007E4D33"/>
    <w:rsid w:val="007E5FA8"/>
    <w:rsid w:val="007E7030"/>
    <w:rsid w:val="007F06C4"/>
    <w:rsid w:val="008040EC"/>
    <w:rsid w:val="00804906"/>
    <w:rsid w:val="00806B00"/>
    <w:rsid w:val="00812D86"/>
    <w:rsid w:val="00813487"/>
    <w:rsid w:val="00820860"/>
    <w:rsid w:val="00821718"/>
    <w:rsid w:val="00823924"/>
    <w:rsid w:val="00824E32"/>
    <w:rsid w:val="00825A7E"/>
    <w:rsid w:val="00825CB4"/>
    <w:rsid w:val="00826A23"/>
    <w:rsid w:val="0082738E"/>
    <w:rsid w:val="00827D32"/>
    <w:rsid w:val="008305B4"/>
    <w:rsid w:val="00832292"/>
    <w:rsid w:val="00832E86"/>
    <w:rsid w:val="00836016"/>
    <w:rsid w:val="00837A4C"/>
    <w:rsid w:val="00843189"/>
    <w:rsid w:val="0084705E"/>
    <w:rsid w:val="008471E8"/>
    <w:rsid w:val="00850545"/>
    <w:rsid w:val="00850C7E"/>
    <w:rsid w:val="0085400E"/>
    <w:rsid w:val="00855011"/>
    <w:rsid w:val="008639E5"/>
    <w:rsid w:val="00865169"/>
    <w:rsid w:val="008734AF"/>
    <w:rsid w:val="008744DD"/>
    <w:rsid w:val="008779FA"/>
    <w:rsid w:val="00882BB0"/>
    <w:rsid w:val="0088645F"/>
    <w:rsid w:val="0088673F"/>
    <w:rsid w:val="0089065A"/>
    <w:rsid w:val="00890BB5"/>
    <w:rsid w:val="0089257E"/>
    <w:rsid w:val="00893A70"/>
    <w:rsid w:val="00894BAB"/>
    <w:rsid w:val="008962C5"/>
    <w:rsid w:val="008967CF"/>
    <w:rsid w:val="00896C39"/>
    <w:rsid w:val="008A00FD"/>
    <w:rsid w:val="008A07C5"/>
    <w:rsid w:val="008A54FA"/>
    <w:rsid w:val="008A5C1F"/>
    <w:rsid w:val="008A5DE2"/>
    <w:rsid w:val="008A6631"/>
    <w:rsid w:val="008B1115"/>
    <w:rsid w:val="008C6C5A"/>
    <w:rsid w:val="008D6300"/>
    <w:rsid w:val="008E1313"/>
    <w:rsid w:val="008E371F"/>
    <w:rsid w:val="008E49B2"/>
    <w:rsid w:val="008E63E8"/>
    <w:rsid w:val="008F52FD"/>
    <w:rsid w:val="008F67A7"/>
    <w:rsid w:val="008F694B"/>
    <w:rsid w:val="0090057E"/>
    <w:rsid w:val="0090557A"/>
    <w:rsid w:val="00912114"/>
    <w:rsid w:val="009122D8"/>
    <w:rsid w:val="009139E1"/>
    <w:rsid w:val="00914487"/>
    <w:rsid w:val="009146B8"/>
    <w:rsid w:val="0092314F"/>
    <w:rsid w:val="0092393A"/>
    <w:rsid w:val="009246AD"/>
    <w:rsid w:val="0092774C"/>
    <w:rsid w:val="0093019A"/>
    <w:rsid w:val="0093035D"/>
    <w:rsid w:val="0093150E"/>
    <w:rsid w:val="00933906"/>
    <w:rsid w:val="00934715"/>
    <w:rsid w:val="00935E83"/>
    <w:rsid w:val="00940013"/>
    <w:rsid w:val="009444AD"/>
    <w:rsid w:val="0094478C"/>
    <w:rsid w:val="00947397"/>
    <w:rsid w:val="00950985"/>
    <w:rsid w:val="009527EF"/>
    <w:rsid w:val="0095395F"/>
    <w:rsid w:val="009562B9"/>
    <w:rsid w:val="00957A45"/>
    <w:rsid w:val="00961E1A"/>
    <w:rsid w:val="00962E65"/>
    <w:rsid w:val="0096493A"/>
    <w:rsid w:val="00965344"/>
    <w:rsid w:val="00967E51"/>
    <w:rsid w:val="00971354"/>
    <w:rsid w:val="00974724"/>
    <w:rsid w:val="009747A9"/>
    <w:rsid w:val="009751B2"/>
    <w:rsid w:val="0097673D"/>
    <w:rsid w:val="009818AA"/>
    <w:rsid w:val="0098291B"/>
    <w:rsid w:val="00983111"/>
    <w:rsid w:val="00986FE1"/>
    <w:rsid w:val="0098773D"/>
    <w:rsid w:val="00987B0E"/>
    <w:rsid w:val="00991674"/>
    <w:rsid w:val="00993A34"/>
    <w:rsid w:val="00994122"/>
    <w:rsid w:val="00995C32"/>
    <w:rsid w:val="009A0111"/>
    <w:rsid w:val="009A1079"/>
    <w:rsid w:val="009A3BD8"/>
    <w:rsid w:val="009A57CB"/>
    <w:rsid w:val="009A62B2"/>
    <w:rsid w:val="009A6BDC"/>
    <w:rsid w:val="009A6DA8"/>
    <w:rsid w:val="009A7ACC"/>
    <w:rsid w:val="009A7ADF"/>
    <w:rsid w:val="009A7DFF"/>
    <w:rsid w:val="009B2904"/>
    <w:rsid w:val="009B2E25"/>
    <w:rsid w:val="009C06A7"/>
    <w:rsid w:val="009C1BF4"/>
    <w:rsid w:val="009C1E00"/>
    <w:rsid w:val="009C74BA"/>
    <w:rsid w:val="009D1AD0"/>
    <w:rsid w:val="009D4EFD"/>
    <w:rsid w:val="009D6DDD"/>
    <w:rsid w:val="009D7A11"/>
    <w:rsid w:val="009E42D1"/>
    <w:rsid w:val="009F2FCB"/>
    <w:rsid w:val="009F304D"/>
    <w:rsid w:val="009F59F0"/>
    <w:rsid w:val="009F7616"/>
    <w:rsid w:val="009F7E16"/>
    <w:rsid w:val="00A008BF"/>
    <w:rsid w:val="00A022A7"/>
    <w:rsid w:val="00A027A5"/>
    <w:rsid w:val="00A029BF"/>
    <w:rsid w:val="00A06191"/>
    <w:rsid w:val="00A10B42"/>
    <w:rsid w:val="00A11DA9"/>
    <w:rsid w:val="00A12291"/>
    <w:rsid w:val="00A16FE5"/>
    <w:rsid w:val="00A22453"/>
    <w:rsid w:val="00A272E6"/>
    <w:rsid w:val="00A304B0"/>
    <w:rsid w:val="00A34E8F"/>
    <w:rsid w:val="00A367B8"/>
    <w:rsid w:val="00A41ADD"/>
    <w:rsid w:val="00A41EEC"/>
    <w:rsid w:val="00A4297C"/>
    <w:rsid w:val="00A51465"/>
    <w:rsid w:val="00A51ABD"/>
    <w:rsid w:val="00A62244"/>
    <w:rsid w:val="00A65F7B"/>
    <w:rsid w:val="00A667E5"/>
    <w:rsid w:val="00A66D62"/>
    <w:rsid w:val="00A70634"/>
    <w:rsid w:val="00A70B2F"/>
    <w:rsid w:val="00A7225F"/>
    <w:rsid w:val="00A7240A"/>
    <w:rsid w:val="00A73023"/>
    <w:rsid w:val="00A73724"/>
    <w:rsid w:val="00A74874"/>
    <w:rsid w:val="00A7501C"/>
    <w:rsid w:val="00A769F5"/>
    <w:rsid w:val="00A76E4C"/>
    <w:rsid w:val="00A77C1F"/>
    <w:rsid w:val="00A81AE7"/>
    <w:rsid w:val="00A82AA8"/>
    <w:rsid w:val="00A8558A"/>
    <w:rsid w:val="00A87294"/>
    <w:rsid w:val="00A944CA"/>
    <w:rsid w:val="00A95C60"/>
    <w:rsid w:val="00A97D12"/>
    <w:rsid w:val="00A97D6F"/>
    <w:rsid w:val="00AA18AA"/>
    <w:rsid w:val="00AA3178"/>
    <w:rsid w:val="00AA3238"/>
    <w:rsid w:val="00AA360D"/>
    <w:rsid w:val="00AA5FBD"/>
    <w:rsid w:val="00AA62DA"/>
    <w:rsid w:val="00AB075F"/>
    <w:rsid w:val="00AB165F"/>
    <w:rsid w:val="00AB2762"/>
    <w:rsid w:val="00AB2930"/>
    <w:rsid w:val="00AB7D34"/>
    <w:rsid w:val="00AC419D"/>
    <w:rsid w:val="00AD16A4"/>
    <w:rsid w:val="00AD21DF"/>
    <w:rsid w:val="00AD3DB3"/>
    <w:rsid w:val="00AD4645"/>
    <w:rsid w:val="00AD5631"/>
    <w:rsid w:val="00AD591A"/>
    <w:rsid w:val="00AD7247"/>
    <w:rsid w:val="00AD7D3B"/>
    <w:rsid w:val="00AE2541"/>
    <w:rsid w:val="00AF1229"/>
    <w:rsid w:val="00AF179B"/>
    <w:rsid w:val="00AF354A"/>
    <w:rsid w:val="00AF5B5B"/>
    <w:rsid w:val="00AF7294"/>
    <w:rsid w:val="00AF7D46"/>
    <w:rsid w:val="00B00988"/>
    <w:rsid w:val="00B01560"/>
    <w:rsid w:val="00B04A5D"/>
    <w:rsid w:val="00B06550"/>
    <w:rsid w:val="00B079FE"/>
    <w:rsid w:val="00B1602A"/>
    <w:rsid w:val="00B162BC"/>
    <w:rsid w:val="00B16BB0"/>
    <w:rsid w:val="00B26C33"/>
    <w:rsid w:val="00B30321"/>
    <w:rsid w:val="00B3340B"/>
    <w:rsid w:val="00B3384F"/>
    <w:rsid w:val="00B348E9"/>
    <w:rsid w:val="00B36370"/>
    <w:rsid w:val="00B3697E"/>
    <w:rsid w:val="00B37948"/>
    <w:rsid w:val="00B37E88"/>
    <w:rsid w:val="00B4758F"/>
    <w:rsid w:val="00B50F99"/>
    <w:rsid w:val="00B5155B"/>
    <w:rsid w:val="00B532BA"/>
    <w:rsid w:val="00B55C1A"/>
    <w:rsid w:val="00B57404"/>
    <w:rsid w:val="00B57499"/>
    <w:rsid w:val="00B57F29"/>
    <w:rsid w:val="00B6084A"/>
    <w:rsid w:val="00B619D5"/>
    <w:rsid w:val="00B63259"/>
    <w:rsid w:val="00B6346B"/>
    <w:rsid w:val="00B6645D"/>
    <w:rsid w:val="00B70271"/>
    <w:rsid w:val="00B70C34"/>
    <w:rsid w:val="00B74E65"/>
    <w:rsid w:val="00B8124D"/>
    <w:rsid w:val="00B85B15"/>
    <w:rsid w:val="00B87FED"/>
    <w:rsid w:val="00B91812"/>
    <w:rsid w:val="00B9563E"/>
    <w:rsid w:val="00B95880"/>
    <w:rsid w:val="00B977DA"/>
    <w:rsid w:val="00B97847"/>
    <w:rsid w:val="00BA1508"/>
    <w:rsid w:val="00BA3285"/>
    <w:rsid w:val="00BA6509"/>
    <w:rsid w:val="00BA6886"/>
    <w:rsid w:val="00BA6A56"/>
    <w:rsid w:val="00BA762B"/>
    <w:rsid w:val="00BB2000"/>
    <w:rsid w:val="00BB5C5A"/>
    <w:rsid w:val="00BC16E5"/>
    <w:rsid w:val="00BC65A8"/>
    <w:rsid w:val="00BD05DE"/>
    <w:rsid w:val="00BD0897"/>
    <w:rsid w:val="00BD142E"/>
    <w:rsid w:val="00BD32AD"/>
    <w:rsid w:val="00BD372E"/>
    <w:rsid w:val="00BD4E8C"/>
    <w:rsid w:val="00BD6AA8"/>
    <w:rsid w:val="00BD6F4A"/>
    <w:rsid w:val="00BE0E26"/>
    <w:rsid w:val="00BE2A82"/>
    <w:rsid w:val="00BE487F"/>
    <w:rsid w:val="00BF0871"/>
    <w:rsid w:val="00BF369D"/>
    <w:rsid w:val="00C005A8"/>
    <w:rsid w:val="00C02B32"/>
    <w:rsid w:val="00C06C92"/>
    <w:rsid w:val="00C13C5D"/>
    <w:rsid w:val="00C163B5"/>
    <w:rsid w:val="00C20DDF"/>
    <w:rsid w:val="00C2568B"/>
    <w:rsid w:val="00C2703B"/>
    <w:rsid w:val="00C30AFA"/>
    <w:rsid w:val="00C31D62"/>
    <w:rsid w:val="00C3385A"/>
    <w:rsid w:val="00C37DA6"/>
    <w:rsid w:val="00C40778"/>
    <w:rsid w:val="00C41F24"/>
    <w:rsid w:val="00C434F5"/>
    <w:rsid w:val="00C46830"/>
    <w:rsid w:val="00C47D29"/>
    <w:rsid w:val="00C5162D"/>
    <w:rsid w:val="00C5202E"/>
    <w:rsid w:val="00C5313F"/>
    <w:rsid w:val="00C53849"/>
    <w:rsid w:val="00C54B90"/>
    <w:rsid w:val="00C62A95"/>
    <w:rsid w:val="00C63CEA"/>
    <w:rsid w:val="00C648B5"/>
    <w:rsid w:val="00C651AA"/>
    <w:rsid w:val="00C65E28"/>
    <w:rsid w:val="00C72AE8"/>
    <w:rsid w:val="00C80714"/>
    <w:rsid w:val="00C81B85"/>
    <w:rsid w:val="00C8674F"/>
    <w:rsid w:val="00C8755C"/>
    <w:rsid w:val="00C90997"/>
    <w:rsid w:val="00C94FC5"/>
    <w:rsid w:val="00C9561F"/>
    <w:rsid w:val="00C960D2"/>
    <w:rsid w:val="00C964CC"/>
    <w:rsid w:val="00C96BD5"/>
    <w:rsid w:val="00C972F6"/>
    <w:rsid w:val="00C977E9"/>
    <w:rsid w:val="00CA1726"/>
    <w:rsid w:val="00CA25F9"/>
    <w:rsid w:val="00CA26DF"/>
    <w:rsid w:val="00CA38A0"/>
    <w:rsid w:val="00CB27F7"/>
    <w:rsid w:val="00CB3339"/>
    <w:rsid w:val="00CB3675"/>
    <w:rsid w:val="00CB3C32"/>
    <w:rsid w:val="00CB4219"/>
    <w:rsid w:val="00CB562D"/>
    <w:rsid w:val="00CC368E"/>
    <w:rsid w:val="00CC7507"/>
    <w:rsid w:val="00CD0A9B"/>
    <w:rsid w:val="00CD2A99"/>
    <w:rsid w:val="00CD43CF"/>
    <w:rsid w:val="00CD4CE9"/>
    <w:rsid w:val="00CD79EF"/>
    <w:rsid w:val="00CE1D70"/>
    <w:rsid w:val="00CE3286"/>
    <w:rsid w:val="00CE45DE"/>
    <w:rsid w:val="00CE6391"/>
    <w:rsid w:val="00CE74A7"/>
    <w:rsid w:val="00CE7D95"/>
    <w:rsid w:val="00CF015B"/>
    <w:rsid w:val="00CF0F2E"/>
    <w:rsid w:val="00CF4285"/>
    <w:rsid w:val="00CF463B"/>
    <w:rsid w:val="00CF5D6D"/>
    <w:rsid w:val="00CF65DF"/>
    <w:rsid w:val="00D07210"/>
    <w:rsid w:val="00D126E6"/>
    <w:rsid w:val="00D15373"/>
    <w:rsid w:val="00D168D5"/>
    <w:rsid w:val="00D23035"/>
    <w:rsid w:val="00D25857"/>
    <w:rsid w:val="00D32547"/>
    <w:rsid w:val="00D32823"/>
    <w:rsid w:val="00D32D51"/>
    <w:rsid w:val="00D37A09"/>
    <w:rsid w:val="00D40481"/>
    <w:rsid w:val="00D40D4E"/>
    <w:rsid w:val="00D41593"/>
    <w:rsid w:val="00D41BA8"/>
    <w:rsid w:val="00D45ACF"/>
    <w:rsid w:val="00D47137"/>
    <w:rsid w:val="00D518AB"/>
    <w:rsid w:val="00D537F0"/>
    <w:rsid w:val="00D6269B"/>
    <w:rsid w:val="00D62A6E"/>
    <w:rsid w:val="00D71A96"/>
    <w:rsid w:val="00D71AE6"/>
    <w:rsid w:val="00D73F4F"/>
    <w:rsid w:val="00D74FEF"/>
    <w:rsid w:val="00D765B9"/>
    <w:rsid w:val="00D82C33"/>
    <w:rsid w:val="00D85D37"/>
    <w:rsid w:val="00D86128"/>
    <w:rsid w:val="00D90A8C"/>
    <w:rsid w:val="00D95503"/>
    <w:rsid w:val="00DA1550"/>
    <w:rsid w:val="00DA3E68"/>
    <w:rsid w:val="00DA6CB5"/>
    <w:rsid w:val="00DB1120"/>
    <w:rsid w:val="00DB1478"/>
    <w:rsid w:val="00DB152E"/>
    <w:rsid w:val="00DB2383"/>
    <w:rsid w:val="00DC2E57"/>
    <w:rsid w:val="00DC330A"/>
    <w:rsid w:val="00DC636B"/>
    <w:rsid w:val="00DD2FBB"/>
    <w:rsid w:val="00DD39DC"/>
    <w:rsid w:val="00DD577D"/>
    <w:rsid w:val="00DD68CC"/>
    <w:rsid w:val="00DD6CC9"/>
    <w:rsid w:val="00DD798C"/>
    <w:rsid w:val="00DE0034"/>
    <w:rsid w:val="00DE1282"/>
    <w:rsid w:val="00DE1783"/>
    <w:rsid w:val="00DE34E2"/>
    <w:rsid w:val="00DE3A0D"/>
    <w:rsid w:val="00DE4D87"/>
    <w:rsid w:val="00DE5EC0"/>
    <w:rsid w:val="00DE6060"/>
    <w:rsid w:val="00DF1E8D"/>
    <w:rsid w:val="00DF3737"/>
    <w:rsid w:val="00DF5566"/>
    <w:rsid w:val="00DF798D"/>
    <w:rsid w:val="00DF7B25"/>
    <w:rsid w:val="00DF7C66"/>
    <w:rsid w:val="00E0355B"/>
    <w:rsid w:val="00E07C21"/>
    <w:rsid w:val="00E11E8C"/>
    <w:rsid w:val="00E13A5C"/>
    <w:rsid w:val="00E20AC0"/>
    <w:rsid w:val="00E21194"/>
    <w:rsid w:val="00E228C2"/>
    <w:rsid w:val="00E24100"/>
    <w:rsid w:val="00E2593A"/>
    <w:rsid w:val="00E26010"/>
    <w:rsid w:val="00E267F0"/>
    <w:rsid w:val="00E3015E"/>
    <w:rsid w:val="00E3088E"/>
    <w:rsid w:val="00E318B9"/>
    <w:rsid w:val="00E32095"/>
    <w:rsid w:val="00E357C0"/>
    <w:rsid w:val="00E36E9C"/>
    <w:rsid w:val="00E378B2"/>
    <w:rsid w:val="00E403D0"/>
    <w:rsid w:val="00E41CAC"/>
    <w:rsid w:val="00E42B51"/>
    <w:rsid w:val="00E4349B"/>
    <w:rsid w:val="00E43A0C"/>
    <w:rsid w:val="00E44C7F"/>
    <w:rsid w:val="00E453E4"/>
    <w:rsid w:val="00E45FF1"/>
    <w:rsid w:val="00E47CBA"/>
    <w:rsid w:val="00E5050E"/>
    <w:rsid w:val="00E538E9"/>
    <w:rsid w:val="00E56F29"/>
    <w:rsid w:val="00E63241"/>
    <w:rsid w:val="00E657FC"/>
    <w:rsid w:val="00E65B8A"/>
    <w:rsid w:val="00E717A8"/>
    <w:rsid w:val="00E73BE8"/>
    <w:rsid w:val="00E763C1"/>
    <w:rsid w:val="00E8013A"/>
    <w:rsid w:val="00E82121"/>
    <w:rsid w:val="00E86A12"/>
    <w:rsid w:val="00E9424A"/>
    <w:rsid w:val="00E94659"/>
    <w:rsid w:val="00E96A22"/>
    <w:rsid w:val="00EA0211"/>
    <w:rsid w:val="00EA0F94"/>
    <w:rsid w:val="00EA26F5"/>
    <w:rsid w:val="00EA55B4"/>
    <w:rsid w:val="00EB0CC8"/>
    <w:rsid w:val="00EB4DC7"/>
    <w:rsid w:val="00EB75D8"/>
    <w:rsid w:val="00EB7993"/>
    <w:rsid w:val="00EC0287"/>
    <w:rsid w:val="00EC151A"/>
    <w:rsid w:val="00EC223A"/>
    <w:rsid w:val="00EC2D01"/>
    <w:rsid w:val="00EC30CB"/>
    <w:rsid w:val="00EC6972"/>
    <w:rsid w:val="00EC7528"/>
    <w:rsid w:val="00ED0CF1"/>
    <w:rsid w:val="00ED1506"/>
    <w:rsid w:val="00ED3BE0"/>
    <w:rsid w:val="00ED4B7C"/>
    <w:rsid w:val="00ED6B4F"/>
    <w:rsid w:val="00ED6E5C"/>
    <w:rsid w:val="00ED72D6"/>
    <w:rsid w:val="00EE0EA6"/>
    <w:rsid w:val="00EE27D8"/>
    <w:rsid w:val="00EE2ADF"/>
    <w:rsid w:val="00EE338B"/>
    <w:rsid w:val="00EF1FC3"/>
    <w:rsid w:val="00F00FBA"/>
    <w:rsid w:val="00F024E5"/>
    <w:rsid w:val="00F04F87"/>
    <w:rsid w:val="00F06533"/>
    <w:rsid w:val="00F06691"/>
    <w:rsid w:val="00F066D9"/>
    <w:rsid w:val="00F103A4"/>
    <w:rsid w:val="00F11384"/>
    <w:rsid w:val="00F13599"/>
    <w:rsid w:val="00F1750D"/>
    <w:rsid w:val="00F20521"/>
    <w:rsid w:val="00F2109E"/>
    <w:rsid w:val="00F21B78"/>
    <w:rsid w:val="00F23D33"/>
    <w:rsid w:val="00F27263"/>
    <w:rsid w:val="00F27A46"/>
    <w:rsid w:val="00F27AA8"/>
    <w:rsid w:val="00F31A48"/>
    <w:rsid w:val="00F3245C"/>
    <w:rsid w:val="00F331F2"/>
    <w:rsid w:val="00F33433"/>
    <w:rsid w:val="00F33655"/>
    <w:rsid w:val="00F36CE7"/>
    <w:rsid w:val="00F411E3"/>
    <w:rsid w:val="00F47858"/>
    <w:rsid w:val="00F47A68"/>
    <w:rsid w:val="00F5032D"/>
    <w:rsid w:val="00F50F27"/>
    <w:rsid w:val="00F516FD"/>
    <w:rsid w:val="00F56C22"/>
    <w:rsid w:val="00F57D1C"/>
    <w:rsid w:val="00F61FA9"/>
    <w:rsid w:val="00F7214A"/>
    <w:rsid w:val="00F84B1D"/>
    <w:rsid w:val="00F8572C"/>
    <w:rsid w:val="00F874AD"/>
    <w:rsid w:val="00F93CB1"/>
    <w:rsid w:val="00F945E2"/>
    <w:rsid w:val="00F959E9"/>
    <w:rsid w:val="00F968DF"/>
    <w:rsid w:val="00F96D55"/>
    <w:rsid w:val="00FA24A3"/>
    <w:rsid w:val="00FA2A8A"/>
    <w:rsid w:val="00FA2F54"/>
    <w:rsid w:val="00FA55CC"/>
    <w:rsid w:val="00FA5A07"/>
    <w:rsid w:val="00FA7BB6"/>
    <w:rsid w:val="00FB0487"/>
    <w:rsid w:val="00FB0AE3"/>
    <w:rsid w:val="00FB15A6"/>
    <w:rsid w:val="00FB1BF8"/>
    <w:rsid w:val="00FB63CE"/>
    <w:rsid w:val="00FB6478"/>
    <w:rsid w:val="00FC29B5"/>
    <w:rsid w:val="00FC3D1A"/>
    <w:rsid w:val="00FC5F3E"/>
    <w:rsid w:val="00FC60EA"/>
    <w:rsid w:val="00FC623D"/>
    <w:rsid w:val="00FC7113"/>
    <w:rsid w:val="00FD0A5F"/>
    <w:rsid w:val="00FD0BEC"/>
    <w:rsid w:val="00FD19A7"/>
    <w:rsid w:val="00FD2BE0"/>
    <w:rsid w:val="00FD40CE"/>
    <w:rsid w:val="00FD6051"/>
    <w:rsid w:val="00FE0AE8"/>
    <w:rsid w:val="00FE2214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3C12"/>
  <w15:docId w15:val="{1A80C2A0-0957-4DB0-88C5-5E0377FE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C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3A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F4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4F"/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528"/>
  </w:style>
  <w:style w:type="paragraph" w:styleId="a9">
    <w:name w:val="footer"/>
    <w:basedOn w:val="a"/>
    <w:link w:val="aa"/>
    <w:uiPriority w:val="99"/>
    <w:unhideWhenUsed/>
    <w:rsid w:val="00EC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528"/>
  </w:style>
  <w:style w:type="table" w:styleId="ab">
    <w:name w:val="Table Grid"/>
    <w:basedOn w:val="a1"/>
    <w:uiPriority w:val="39"/>
    <w:rsid w:val="0029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16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улеты1"/>
    <w:basedOn w:val="a"/>
    <w:uiPriority w:val="99"/>
    <w:rsid w:val="00FD6051"/>
    <w:pPr>
      <w:tabs>
        <w:tab w:val="left" w:pos="2977"/>
      </w:tabs>
      <w:spacing w:after="200"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A0BDD"/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9527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Знак"/>
    <w:basedOn w:val="a"/>
    <w:rsid w:val="003259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 Indent"/>
    <w:basedOn w:val="a"/>
    <w:link w:val="af"/>
    <w:rsid w:val="008208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208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1C682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944CA"/>
  </w:style>
  <w:style w:type="paragraph" w:styleId="af0">
    <w:name w:val="Normal (Web)"/>
    <w:basedOn w:val="a"/>
    <w:uiPriority w:val="99"/>
    <w:unhideWhenUsed/>
    <w:rsid w:val="003B50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87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D%D0%B0%D0%BB%D0%BE%D0%B3%D0%BE%D0%B2%D1%8B%D0%B5_%D0%BB%D1%8C%D0%B3%D0%BE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0%BB%D0%BE%D0%B3%D0%BE%D0%B2%D1%8B%D0%B5_%D0%BB%D1%8C%D0%B3%D0%BE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3279-EEB5-47CA-B069-C4B6E330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36</Pages>
  <Words>17385</Words>
  <Characters>99100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Ольга Сергеевна Плотникова</cp:lastModifiedBy>
  <cp:revision>199</cp:revision>
  <cp:lastPrinted>2020-04-16T06:10:00Z</cp:lastPrinted>
  <dcterms:created xsi:type="dcterms:W3CDTF">2020-04-08T06:45:00Z</dcterms:created>
  <dcterms:modified xsi:type="dcterms:W3CDTF">2020-04-17T03:28:00Z</dcterms:modified>
</cp:coreProperties>
</file>