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09774C" w:rsidRDefault="007A2C8D" w:rsidP="007A2C8D">
      <w:pPr>
        <w:jc w:val="center"/>
        <w:rPr>
          <w:b/>
          <w:sz w:val="28"/>
          <w:szCs w:val="28"/>
        </w:rPr>
      </w:pPr>
      <w:r w:rsidRPr="0009774C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09774C" w:rsidRDefault="007A2C8D" w:rsidP="00A20795">
      <w:pPr>
        <w:jc w:val="right"/>
        <w:rPr>
          <w:b/>
          <w:sz w:val="28"/>
          <w:szCs w:val="28"/>
        </w:rPr>
      </w:pPr>
    </w:p>
    <w:p w:rsidR="007A2C8D" w:rsidRPr="0009774C" w:rsidRDefault="007A2C8D" w:rsidP="00A20795">
      <w:pPr>
        <w:jc w:val="right"/>
        <w:rPr>
          <w:b/>
          <w:sz w:val="28"/>
          <w:szCs w:val="28"/>
        </w:rPr>
      </w:pPr>
    </w:p>
    <w:p w:rsidR="00A20795" w:rsidRPr="0009774C" w:rsidRDefault="00A20795" w:rsidP="00A20795">
      <w:pPr>
        <w:jc w:val="right"/>
        <w:rPr>
          <w:b/>
          <w:sz w:val="28"/>
          <w:szCs w:val="28"/>
        </w:rPr>
      </w:pP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</w:r>
      <w:r w:rsidRPr="0009774C">
        <w:rPr>
          <w:b/>
          <w:sz w:val="28"/>
          <w:szCs w:val="28"/>
        </w:rPr>
        <w:tab/>
        <w:t xml:space="preserve">    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35688" w:rsidRPr="0009774C" w:rsidTr="00235688">
        <w:trPr>
          <w:trHeight w:val="3344"/>
        </w:trPr>
        <w:tc>
          <w:tcPr>
            <w:tcW w:w="6379" w:type="dxa"/>
          </w:tcPr>
          <w:p w:rsidR="00235688" w:rsidRPr="0009774C" w:rsidRDefault="00235688" w:rsidP="002356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5688" w:rsidRPr="0009774C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35688" w:rsidRPr="0009774C" w:rsidRDefault="00235688" w:rsidP="0023568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9774C">
              <w:rPr>
                <w:b/>
                <w:sz w:val="28"/>
                <w:szCs w:val="28"/>
              </w:rPr>
              <w:t>УТВЕРЖДЕН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Советом Фонда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Протокол заседания </w:t>
            </w:r>
          </w:p>
          <w:p w:rsidR="00235688" w:rsidRPr="0009774C" w:rsidRDefault="00235688" w:rsidP="00256377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3 от  «20» февраля 2017г.</w:t>
            </w:r>
          </w:p>
          <w:p w:rsidR="00235688" w:rsidRPr="0009774C" w:rsidRDefault="00235688" w:rsidP="00842F1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16 от  «31» августа 2017г.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09774C" w:rsidRDefault="00235688" w:rsidP="00362FED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№ 1 от  «30» января 2018г.</w:t>
            </w:r>
          </w:p>
          <w:p w:rsidR="00235688" w:rsidRPr="0009774C" w:rsidRDefault="00235688" w:rsidP="00B2221A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15 от </w:t>
            </w:r>
          </w:p>
          <w:p w:rsidR="00235688" w:rsidRPr="0009774C" w:rsidRDefault="00235688" w:rsidP="00B2221A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«07» мая 2018г.</w:t>
            </w:r>
          </w:p>
          <w:p w:rsidR="00A83900" w:rsidRPr="0009774C" w:rsidRDefault="00A83900" w:rsidP="00A8390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30 от </w:t>
            </w:r>
          </w:p>
          <w:p w:rsidR="00A83900" w:rsidRPr="0009774C" w:rsidRDefault="00A83900" w:rsidP="00A8390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«14» апреля 2020г.</w:t>
            </w:r>
          </w:p>
          <w:p w:rsidR="008A1CA0" w:rsidRPr="0009774C" w:rsidRDefault="008A1CA0" w:rsidP="008A1CA0">
            <w:pPr>
              <w:ind w:right="-108"/>
              <w:rPr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 xml:space="preserve">Изменен: приказ № 105 от </w:t>
            </w:r>
          </w:p>
          <w:p w:rsidR="00235688" w:rsidRPr="0009774C" w:rsidRDefault="008A1CA0" w:rsidP="00C90599">
            <w:pPr>
              <w:ind w:right="-108"/>
              <w:rPr>
                <w:b/>
                <w:sz w:val="28"/>
                <w:szCs w:val="28"/>
              </w:rPr>
            </w:pPr>
            <w:r w:rsidRPr="0009774C">
              <w:rPr>
                <w:sz w:val="28"/>
                <w:szCs w:val="28"/>
              </w:rPr>
              <w:t>«13» ноября 2020г.</w:t>
            </w:r>
            <w:r w:rsidR="00235688" w:rsidRPr="0009774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09774C" w:rsidRDefault="00006342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A20795" w:rsidRPr="0009774C" w:rsidRDefault="00A20795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4F6FAD" w:rsidRPr="0009774C" w:rsidRDefault="004F6FAD" w:rsidP="004F463A">
      <w:pPr>
        <w:ind w:firstLine="567"/>
      </w:pPr>
    </w:p>
    <w:p w:rsidR="00E22B3E" w:rsidRPr="0009774C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09774C">
        <w:rPr>
          <w:b/>
          <w:color w:val="000000"/>
          <w:sz w:val="32"/>
          <w:szCs w:val="32"/>
        </w:rPr>
        <w:t xml:space="preserve">Порядок </w:t>
      </w:r>
      <w:r w:rsidR="00E22B3E" w:rsidRPr="0009774C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Pr="0009774C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09774C">
        <w:rPr>
          <w:b/>
          <w:color w:val="000000"/>
          <w:sz w:val="32"/>
          <w:szCs w:val="32"/>
        </w:rPr>
        <w:t>временно свободных средств</w:t>
      </w:r>
    </w:p>
    <w:p w:rsidR="00136BB9" w:rsidRPr="0009774C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09774C">
        <w:rPr>
          <w:sz w:val="28"/>
          <w:szCs w:val="28"/>
        </w:rPr>
        <w:t xml:space="preserve">(редакция от </w:t>
      </w:r>
      <w:r w:rsidR="00A83900" w:rsidRPr="0009774C">
        <w:rPr>
          <w:sz w:val="28"/>
          <w:szCs w:val="28"/>
        </w:rPr>
        <w:t>1</w:t>
      </w:r>
      <w:r w:rsidR="008A1CA0" w:rsidRPr="0009774C">
        <w:rPr>
          <w:sz w:val="28"/>
          <w:szCs w:val="28"/>
        </w:rPr>
        <w:t>3</w:t>
      </w:r>
      <w:r w:rsidRPr="0009774C">
        <w:rPr>
          <w:sz w:val="28"/>
          <w:szCs w:val="28"/>
        </w:rPr>
        <w:t>.</w:t>
      </w:r>
      <w:r w:rsidR="008A1CA0" w:rsidRPr="0009774C">
        <w:rPr>
          <w:sz w:val="28"/>
          <w:szCs w:val="28"/>
        </w:rPr>
        <w:t>11</w:t>
      </w:r>
      <w:r w:rsidRPr="0009774C">
        <w:rPr>
          <w:sz w:val="28"/>
          <w:szCs w:val="28"/>
        </w:rPr>
        <w:t>.20</w:t>
      </w:r>
      <w:r w:rsidR="00A83900" w:rsidRPr="0009774C">
        <w:rPr>
          <w:sz w:val="28"/>
          <w:szCs w:val="28"/>
        </w:rPr>
        <w:t>20</w:t>
      </w:r>
      <w:r w:rsidRPr="0009774C">
        <w:rPr>
          <w:sz w:val="28"/>
          <w:szCs w:val="28"/>
        </w:rPr>
        <w:t>г.)</w:t>
      </w:r>
    </w:p>
    <w:p w:rsidR="00A20795" w:rsidRPr="0009774C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09774C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Default="00A20795" w:rsidP="00A20795">
      <w:pPr>
        <w:ind w:firstLine="567"/>
      </w:pPr>
    </w:p>
    <w:p w:rsidR="00C90599" w:rsidRDefault="00C90599" w:rsidP="00A20795">
      <w:pPr>
        <w:ind w:firstLine="567"/>
      </w:pPr>
    </w:p>
    <w:p w:rsidR="00C90599" w:rsidRDefault="00C90599" w:rsidP="00A20795">
      <w:pPr>
        <w:ind w:firstLine="567"/>
      </w:pPr>
    </w:p>
    <w:p w:rsidR="00C90599" w:rsidRPr="0009774C" w:rsidRDefault="00C90599" w:rsidP="00A20795">
      <w:pPr>
        <w:ind w:firstLine="567"/>
      </w:pPr>
    </w:p>
    <w:p w:rsidR="00A20795" w:rsidRPr="0009774C" w:rsidRDefault="00A20795" w:rsidP="00A20795">
      <w:pPr>
        <w:ind w:firstLine="567"/>
      </w:pPr>
    </w:p>
    <w:p w:rsidR="00A20795" w:rsidRPr="0009774C" w:rsidRDefault="00A20795" w:rsidP="00A20795">
      <w:pPr>
        <w:ind w:firstLine="567"/>
        <w:jc w:val="center"/>
      </w:pPr>
      <w:r w:rsidRPr="0009774C">
        <w:t>г. Анадырь</w:t>
      </w:r>
    </w:p>
    <w:p w:rsidR="00A20795" w:rsidRPr="0009774C" w:rsidRDefault="00A20795" w:rsidP="00A20795">
      <w:pPr>
        <w:ind w:firstLine="567"/>
        <w:jc w:val="center"/>
      </w:pPr>
      <w:r w:rsidRPr="0009774C">
        <w:t>20</w:t>
      </w:r>
      <w:r w:rsidR="008A1CA0" w:rsidRPr="0009774C">
        <w:t>20</w:t>
      </w:r>
      <w:r w:rsidRPr="0009774C">
        <w:t xml:space="preserve"> год</w:t>
      </w:r>
    </w:p>
    <w:p w:rsidR="00064F60" w:rsidRPr="0009774C" w:rsidRDefault="00064F60" w:rsidP="00C0161D">
      <w:pPr>
        <w:ind w:firstLine="567"/>
        <w:jc w:val="center"/>
        <w:rPr>
          <w:rFonts w:cs="Times New Roman"/>
        </w:rPr>
      </w:pPr>
    </w:p>
    <w:p w:rsidR="00064F60" w:rsidRPr="0009774C" w:rsidRDefault="00064F60" w:rsidP="00C0161D">
      <w:pPr>
        <w:ind w:firstLine="567"/>
        <w:jc w:val="center"/>
        <w:rPr>
          <w:rFonts w:cs="Times New Roman"/>
        </w:rPr>
      </w:pPr>
    </w:p>
    <w:p w:rsidR="00586D06" w:rsidRPr="0009774C" w:rsidRDefault="00586D06" w:rsidP="00C0161D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1. ОБЩИЕ ПОЛОЖЕНИЯ</w:t>
      </w:r>
    </w:p>
    <w:p w:rsidR="00241709" w:rsidRPr="0009774C" w:rsidRDefault="00241709" w:rsidP="00586D06">
      <w:pPr>
        <w:ind w:firstLine="567"/>
        <w:jc w:val="both"/>
        <w:rPr>
          <w:rFonts w:cs="Times New Roman"/>
        </w:rPr>
      </w:pPr>
    </w:p>
    <w:p w:rsidR="004463F2" w:rsidRPr="0009774C" w:rsidRDefault="007C1EEB" w:rsidP="00D837A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1.1. Настоящий П</w:t>
      </w:r>
      <w:r w:rsidR="00241709" w:rsidRPr="0009774C">
        <w:rPr>
          <w:rFonts w:cs="Times New Roman"/>
        </w:rPr>
        <w:t>орядок</w:t>
      </w:r>
      <w:r w:rsidRPr="0009774C">
        <w:rPr>
          <w:rFonts w:cs="Times New Roman"/>
        </w:rPr>
        <w:t xml:space="preserve"> определяет</w:t>
      </w:r>
      <w:r w:rsidR="009537C8" w:rsidRPr="0009774C">
        <w:rPr>
          <w:rFonts w:cs="Times New Roman"/>
        </w:rPr>
        <w:t xml:space="preserve"> </w:t>
      </w:r>
      <w:r w:rsidR="00B8695C" w:rsidRPr="0009774C">
        <w:rPr>
          <w:rFonts w:cs="Times New Roman"/>
        </w:rPr>
        <w:t>порядок</w:t>
      </w:r>
      <w:r w:rsidR="00897B89" w:rsidRPr="0009774C">
        <w:rPr>
          <w:rFonts w:cs="Times New Roman"/>
        </w:rPr>
        <w:t xml:space="preserve"> инвестирования и (или) размещения временно свободных средств Фонда</w:t>
      </w:r>
      <w:r w:rsidR="00A83900" w:rsidRPr="0009774C">
        <w:rPr>
          <w:rFonts w:cs="Times New Roman"/>
        </w:rPr>
        <w:t xml:space="preserve"> по деятельности в качестве региональной гарантийной организации</w:t>
      </w:r>
      <w:r w:rsidR="00897B89" w:rsidRPr="0009774C">
        <w:rPr>
          <w:rFonts w:cs="Times New Roman"/>
        </w:rPr>
        <w:t>,</w:t>
      </w:r>
      <w:r w:rsidR="00B8695C" w:rsidRPr="0009774C">
        <w:rPr>
          <w:rFonts w:cs="Times New Roman"/>
        </w:rPr>
        <w:t xml:space="preserve"> </w:t>
      </w:r>
      <w:r w:rsidR="00B43C0A" w:rsidRPr="0009774C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09774C">
        <w:rPr>
          <w:rFonts w:cs="Times New Roman"/>
        </w:rPr>
        <w:t>.</w:t>
      </w:r>
    </w:p>
    <w:p w:rsidR="00752E35" w:rsidRPr="0009774C" w:rsidRDefault="00752E35" w:rsidP="00586D0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1.2. В настоящем Порядке используются следующие термины:</w:t>
      </w:r>
    </w:p>
    <w:p w:rsidR="00D721D9" w:rsidRPr="0009774C" w:rsidRDefault="00D721D9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Вклад (депозит) –</w:t>
      </w:r>
      <w:r w:rsidR="00DD5AE9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размещени</w:t>
      </w:r>
      <w:r w:rsidR="00DD5AE9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</w:t>
      </w:r>
      <w:r w:rsidR="00DD5AE9" w:rsidRPr="0009774C">
        <w:rPr>
          <w:rFonts w:cs="Times New Roman"/>
        </w:rPr>
        <w:t xml:space="preserve">временно </w:t>
      </w:r>
      <w:r w:rsidRPr="0009774C">
        <w:rPr>
          <w:rFonts w:cs="Times New Roman"/>
        </w:rPr>
        <w:t>свободных денежных средств Фонда</w:t>
      </w:r>
      <w:r w:rsidR="00DD5AE9" w:rsidRPr="0009774C">
        <w:rPr>
          <w:rFonts w:cs="Times New Roman"/>
        </w:rPr>
        <w:t xml:space="preserve"> в банке</w:t>
      </w:r>
      <w:r w:rsidR="00B43C0A" w:rsidRPr="0009774C">
        <w:rPr>
          <w:rFonts w:cs="Times New Roman"/>
        </w:rPr>
        <w:t xml:space="preserve"> </w:t>
      </w:r>
      <w:r w:rsidR="00DD5AE9" w:rsidRPr="0009774C">
        <w:rPr>
          <w:rFonts w:cs="Times New Roman"/>
        </w:rPr>
        <w:t>с целью получить доход в виде процентов</w:t>
      </w:r>
      <w:r w:rsidRPr="0009774C">
        <w:rPr>
          <w:rFonts w:cs="Times New Roman"/>
        </w:rPr>
        <w:t>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И</w:t>
      </w:r>
      <w:r w:rsidR="00EB4A62" w:rsidRPr="0009774C">
        <w:rPr>
          <w:rFonts w:cs="Times New Roman"/>
        </w:rPr>
        <w:t>нформационное сообщение</w:t>
      </w:r>
      <w:r w:rsidRPr="0009774C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09774C">
        <w:rPr>
          <w:rFonts w:cs="Times New Roman"/>
        </w:rPr>
        <w:t>конкурса по отбору</w:t>
      </w:r>
      <w:r w:rsidRPr="0009774C">
        <w:rPr>
          <w:rFonts w:cs="Times New Roman"/>
        </w:rPr>
        <w:t xml:space="preserve"> </w:t>
      </w:r>
      <w:r w:rsidR="009E7E41" w:rsidRPr="0009774C">
        <w:rPr>
          <w:rFonts w:cs="Times New Roman"/>
        </w:rPr>
        <w:t>коммерческих банков</w:t>
      </w:r>
      <w:r w:rsidRPr="0009774C">
        <w:rPr>
          <w:rFonts w:cs="Times New Roman"/>
        </w:rPr>
        <w:t xml:space="preserve"> для </w:t>
      </w:r>
      <w:r w:rsidR="007271AE" w:rsidRPr="0009774C">
        <w:rPr>
          <w:rFonts w:cs="Times New Roman"/>
        </w:rPr>
        <w:t>размещения временно свободных средств</w:t>
      </w:r>
      <w:r w:rsidRPr="0009774C">
        <w:rPr>
          <w:rFonts w:cs="Times New Roman"/>
        </w:rPr>
        <w:t>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Конкурс </w:t>
      </w:r>
      <w:r w:rsidR="007458BC" w:rsidRPr="0009774C">
        <w:rPr>
          <w:rFonts w:cs="Times New Roman"/>
        </w:rPr>
        <w:t>–</w:t>
      </w:r>
      <w:r w:rsidR="00B43C0A" w:rsidRPr="0009774C">
        <w:rPr>
          <w:rFonts w:cs="Times New Roman"/>
        </w:rPr>
        <w:t xml:space="preserve"> форма торгов, процедура </w:t>
      </w:r>
      <w:r w:rsidR="0004532A" w:rsidRPr="0009774C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09774C">
        <w:rPr>
          <w:rFonts w:cs="Times New Roman"/>
        </w:rPr>
        <w:t>в которых</w:t>
      </w:r>
      <w:r w:rsidR="0004532A" w:rsidRPr="0009774C">
        <w:rPr>
          <w:rFonts w:cs="Times New Roman"/>
        </w:rPr>
        <w:t xml:space="preserve"> будут </w:t>
      </w:r>
      <w:r w:rsidR="00B43C0A" w:rsidRPr="0009774C">
        <w:rPr>
          <w:rFonts w:cs="Times New Roman"/>
        </w:rPr>
        <w:t>размещен</w:t>
      </w:r>
      <w:r w:rsidR="0004532A" w:rsidRPr="0009774C">
        <w:rPr>
          <w:rFonts w:cs="Times New Roman"/>
        </w:rPr>
        <w:t>ы временно свободные</w:t>
      </w:r>
      <w:r w:rsidR="00B43C0A" w:rsidRPr="0009774C">
        <w:rPr>
          <w:rFonts w:cs="Times New Roman"/>
        </w:rPr>
        <w:t xml:space="preserve"> средств</w:t>
      </w:r>
      <w:r w:rsidR="0004532A" w:rsidRPr="0009774C">
        <w:rPr>
          <w:rFonts w:cs="Times New Roman"/>
        </w:rPr>
        <w:t>а</w:t>
      </w:r>
      <w:r w:rsidR="00B43C0A" w:rsidRPr="0009774C">
        <w:rPr>
          <w:rFonts w:cs="Times New Roman"/>
        </w:rPr>
        <w:t xml:space="preserve"> Фонда во вклады (депозиты)</w:t>
      </w:r>
      <w:r w:rsidRPr="0009774C">
        <w:rPr>
          <w:rFonts w:cs="Times New Roman"/>
        </w:rPr>
        <w:t>;</w:t>
      </w:r>
    </w:p>
    <w:p w:rsidR="00841171" w:rsidRPr="0009774C" w:rsidRDefault="00841171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Коммерческий банк – кредитная организация, отвечающая требованиям п. 2.3 и раздела 3 настоящего Порядка.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Конкурсная комиссия -</w:t>
      </w:r>
      <w:r w:rsidR="00BD332F" w:rsidRPr="0009774C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09774C">
        <w:rPr>
          <w:rFonts w:cs="Times New Roman"/>
        </w:rPr>
        <w:t>п</w:t>
      </w:r>
      <w:r w:rsidR="00BD332F" w:rsidRPr="0009774C">
        <w:rPr>
          <w:rFonts w:cs="Times New Roman"/>
        </w:rPr>
        <w:t>орядком</w:t>
      </w:r>
      <w:r w:rsidRPr="0009774C">
        <w:rPr>
          <w:rFonts w:cs="Times New Roman"/>
        </w:rPr>
        <w:t>;</w:t>
      </w:r>
    </w:p>
    <w:p w:rsidR="00D721D9" w:rsidRPr="0009774C" w:rsidRDefault="00D721D9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</w:t>
      </w:r>
      <w:r w:rsidR="00A83900" w:rsidRPr="0009774C">
        <w:rPr>
          <w:rFonts w:cs="Times New Roman"/>
        </w:rPr>
        <w:t xml:space="preserve">го коммерческого </w:t>
      </w:r>
      <w:r w:rsidRPr="0009774C">
        <w:rPr>
          <w:rFonts w:cs="Times New Roman"/>
        </w:rPr>
        <w:t>банка;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Организатор конкурса - </w:t>
      </w:r>
      <w:r w:rsidR="005F01C9" w:rsidRPr="0009774C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09774C">
        <w:rPr>
          <w:rFonts w:cs="Times New Roman"/>
        </w:rPr>
        <w:t>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 Фонда – официальный сайт Фонда</w:t>
      </w:r>
      <w:r w:rsidR="00774A76" w:rsidRPr="0009774C">
        <w:rPr>
          <w:rFonts w:cs="Times New Roman"/>
        </w:rPr>
        <w:t xml:space="preserve"> www.fond87.ru</w:t>
      </w:r>
      <w:r w:rsidRPr="0009774C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Претендент – </w:t>
      </w:r>
      <w:r w:rsidR="00A83900" w:rsidRPr="0009774C">
        <w:rPr>
          <w:rFonts w:cs="Times New Roman"/>
        </w:rPr>
        <w:t>коммерческий банк</w:t>
      </w:r>
      <w:r w:rsidRPr="0009774C">
        <w:rPr>
          <w:rFonts w:cs="Times New Roman"/>
        </w:rPr>
        <w:t>, подавш</w:t>
      </w:r>
      <w:r w:rsidR="00A83900" w:rsidRPr="0009774C">
        <w:rPr>
          <w:rFonts w:cs="Times New Roman"/>
        </w:rPr>
        <w:t>ий</w:t>
      </w:r>
      <w:r w:rsidRPr="0009774C">
        <w:rPr>
          <w:rFonts w:cs="Times New Roman"/>
        </w:rPr>
        <w:t xml:space="preserve"> в соответствии с настоящим </w:t>
      </w:r>
      <w:r w:rsidR="0008089F" w:rsidRPr="0009774C">
        <w:rPr>
          <w:rFonts w:cs="Times New Roman"/>
        </w:rPr>
        <w:t>п</w:t>
      </w:r>
      <w:r w:rsidRPr="0009774C">
        <w:rPr>
          <w:rFonts w:cs="Times New Roman"/>
        </w:rPr>
        <w:t>орядком заявку о намерении участвовать в конкурсе;</w:t>
      </w:r>
    </w:p>
    <w:p w:rsidR="004740F1" w:rsidRPr="0009774C" w:rsidRDefault="009537C8" w:rsidP="004740F1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Совет Фонда – высший коллегиальный орган управления Фондом;</w:t>
      </w:r>
    </w:p>
    <w:p w:rsidR="006E6028" w:rsidRPr="0009774C" w:rsidRDefault="006E6028" w:rsidP="006E602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Участник конкурса – </w:t>
      </w:r>
      <w:r w:rsidR="00A83900" w:rsidRPr="0009774C">
        <w:rPr>
          <w:rFonts w:cs="Times New Roman"/>
        </w:rPr>
        <w:t xml:space="preserve">коммерческий </w:t>
      </w:r>
      <w:r w:rsidR="00D837A7" w:rsidRPr="0009774C">
        <w:rPr>
          <w:rFonts w:cs="Times New Roman"/>
        </w:rPr>
        <w:t>банк</w:t>
      </w:r>
      <w:r w:rsidRPr="0009774C">
        <w:rPr>
          <w:rFonts w:cs="Times New Roman"/>
        </w:rPr>
        <w:t>, допущенн</w:t>
      </w:r>
      <w:r w:rsidR="0008089F" w:rsidRPr="0009774C">
        <w:rPr>
          <w:rFonts w:cs="Times New Roman"/>
        </w:rPr>
        <w:t>ый</w:t>
      </w:r>
      <w:r w:rsidRPr="0009774C">
        <w:rPr>
          <w:rFonts w:cs="Times New Roman"/>
        </w:rPr>
        <w:t xml:space="preserve"> к участию в конкурсе;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09774C" w:rsidRDefault="009537C8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09774C" w:rsidRDefault="00856C8B" w:rsidP="009537C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09774C" w:rsidRDefault="00DA7963" w:rsidP="009537C8">
      <w:pPr>
        <w:ind w:firstLine="567"/>
        <w:jc w:val="both"/>
        <w:rPr>
          <w:rFonts w:cs="Times New Roman"/>
        </w:rPr>
      </w:pPr>
    </w:p>
    <w:p w:rsidR="0008760A" w:rsidRPr="0009774C" w:rsidRDefault="00752E35" w:rsidP="00752E35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2. ПОРЯДОК</w:t>
      </w:r>
      <w:r w:rsidR="00C1657F" w:rsidRPr="0009774C">
        <w:rPr>
          <w:rFonts w:cs="Times New Roman"/>
        </w:rPr>
        <w:t xml:space="preserve"> И КРИТЕРИИ</w:t>
      </w:r>
      <w:r w:rsidRPr="0009774C">
        <w:rPr>
          <w:rFonts w:cs="Times New Roman"/>
        </w:rPr>
        <w:t xml:space="preserve"> ОТБОРА</w:t>
      </w:r>
      <w:r w:rsidR="00A83900" w:rsidRPr="0009774C">
        <w:rPr>
          <w:rFonts w:cs="Times New Roman"/>
        </w:rPr>
        <w:t xml:space="preserve"> КОММЕРЧЕСКИХ</w:t>
      </w:r>
      <w:r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</w:p>
    <w:p w:rsidR="006B78DA" w:rsidRPr="0009774C" w:rsidRDefault="006B78DA" w:rsidP="00586D06">
      <w:pPr>
        <w:ind w:firstLine="567"/>
        <w:jc w:val="both"/>
        <w:rPr>
          <w:rFonts w:cs="Times New Roman"/>
        </w:rPr>
      </w:pPr>
    </w:p>
    <w:p w:rsidR="007B5305" w:rsidRPr="0009774C" w:rsidRDefault="00C1657F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7B5305" w:rsidRPr="0009774C">
        <w:rPr>
          <w:rFonts w:cs="Times New Roman"/>
        </w:rPr>
        <w:t>1</w:t>
      </w:r>
      <w:r w:rsidRPr="0009774C">
        <w:rPr>
          <w:rFonts w:cs="Times New Roman"/>
        </w:rPr>
        <w:t>.</w:t>
      </w:r>
      <w:r w:rsidR="00925FEE" w:rsidRPr="0009774C">
        <w:rPr>
          <w:rFonts w:cs="Times New Roman"/>
        </w:rPr>
        <w:t xml:space="preserve"> Фонд размещает средства гарантийного </w:t>
      </w:r>
      <w:r w:rsidR="00842F10" w:rsidRPr="0009774C">
        <w:rPr>
          <w:rFonts w:cs="Times New Roman"/>
        </w:rPr>
        <w:t>капитала</w:t>
      </w:r>
      <w:r w:rsidR="00925FEE" w:rsidRPr="0009774C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09774C" w:rsidRDefault="00925FEE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2.2. </w:t>
      </w:r>
      <w:r w:rsidR="00C1657F" w:rsidRPr="0009774C">
        <w:rPr>
          <w:rFonts w:cs="Times New Roman"/>
        </w:rPr>
        <w:t xml:space="preserve">Основным критерием </w:t>
      </w:r>
      <w:r w:rsidR="009A7416" w:rsidRPr="0009774C">
        <w:rPr>
          <w:rFonts w:cs="Times New Roman"/>
        </w:rPr>
        <w:t xml:space="preserve">конкурсного </w:t>
      </w:r>
      <w:r w:rsidR="00C1657F" w:rsidRPr="0009774C">
        <w:rPr>
          <w:rFonts w:cs="Times New Roman"/>
        </w:rPr>
        <w:t xml:space="preserve">отбора </w:t>
      </w:r>
      <w:r w:rsidR="00A83900" w:rsidRPr="0009774C">
        <w:rPr>
          <w:rFonts w:cs="Times New Roman"/>
        </w:rPr>
        <w:t>коммерческих банков</w:t>
      </w:r>
      <w:r w:rsidR="00C1657F" w:rsidRPr="0009774C">
        <w:rPr>
          <w:rFonts w:cs="Times New Roman"/>
        </w:rPr>
        <w:t xml:space="preserve">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09774C" w:rsidRDefault="00DD393D" w:rsidP="00C1657F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Дополнительные критерии </w:t>
      </w:r>
      <w:r w:rsidR="009A7416" w:rsidRPr="0009774C">
        <w:rPr>
          <w:rFonts w:cs="Times New Roman"/>
        </w:rPr>
        <w:t xml:space="preserve">конкурсного </w:t>
      </w:r>
      <w:r w:rsidRPr="0009774C">
        <w:rPr>
          <w:rFonts w:cs="Times New Roman"/>
        </w:rPr>
        <w:t xml:space="preserve">отбора </w:t>
      </w:r>
      <w:r w:rsidR="00293949" w:rsidRPr="0009774C">
        <w:rPr>
          <w:rFonts w:cs="Times New Roman"/>
        </w:rPr>
        <w:t>отражаются</w:t>
      </w:r>
      <w:r w:rsidRPr="0009774C">
        <w:rPr>
          <w:rFonts w:cs="Times New Roman"/>
        </w:rPr>
        <w:t xml:space="preserve"> в информационном сообщении</w:t>
      </w:r>
      <w:r w:rsidR="00293949" w:rsidRPr="0009774C">
        <w:rPr>
          <w:rFonts w:cs="Times New Roman"/>
        </w:rPr>
        <w:t xml:space="preserve">, размещаемом согласно п. 2.5 настоящего </w:t>
      </w:r>
      <w:r w:rsidR="00362FED" w:rsidRPr="0009774C">
        <w:rPr>
          <w:rFonts w:cs="Times New Roman"/>
        </w:rPr>
        <w:t>П</w:t>
      </w:r>
      <w:r w:rsidR="00293949" w:rsidRPr="0009774C">
        <w:rPr>
          <w:rFonts w:cs="Times New Roman"/>
        </w:rPr>
        <w:t>орядка</w:t>
      </w:r>
      <w:r w:rsidRPr="0009774C">
        <w:rPr>
          <w:rFonts w:cs="Times New Roman"/>
        </w:rPr>
        <w:t>.</w:t>
      </w:r>
      <w:r w:rsidR="00391EDA" w:rsidRPr="0009774C">
        <w:rPr>
          <w:rFonts w:cs="Times New Roman"/>
        </w:rPr>
        <w:t xml:space="preserve"> Соответствие типового договора банковского </w:t>
      </w:r>
      <w:r w:rsidR="00391EDA" w:rsidRPr="0009774C">
        <w:rPr>
          <w:rFonts w:cs="Times New Roman"/>
        </w:rPr>
        <w:lastRenderedPageBreak/>
        <w:t>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09774C">
        <w:rPr>
          <w:rFonts w:cs="Times New Roman"/>
        </w:rPr>
        <w:t xml:space="preserve"> по лоту</w:t>
      </w:r>
      <w:r w:rsidR="00391EDA" w:rsidRPr="0009774C">
        <w:rPr>
          <w:rFonts w:cs="Times New Roman"/>
        </w:rPr>
        <w:t xml:space="preserve"> на одну позицию.</w:t>
      </w:r>
    </w:p>
    <w:p w:rsidR="008F48F7" w:rsidRPr="0009774C" w:rsidRDefault="008F48F7" w:rsidP="006B78DA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3</w:t>
      </w:r>
      <w:r w:rsidRPr="0009774C">
        <w:rPr>
          <w:rFonts w:cs="Times New Roman"/>
        </w:rPr>
        <w:t xml:space="preserve">. В </w:t>
      </w:r>
      <w:r w:rsidR="009E7E41" w:rsidRPr="0009774C">
        <w:rPr>
          <w:rFonts w:cs="Times New Roman"/>
        </w:rPr>
        <w:t>конкурсе</w:t>
      </w:r>
      <w:r w:rsidRPr="0009774C">
        <w:rPr>
          <w:rFonts w:cs="Times New Roman"/>
        </w:rPr>
        <w:t xml:space="preserve"> могут принять участие</w:t>
      </w:r>
      <w:r w:rsidR="00C920F1" w:rsidRPr="0009774C">
        <w:rPr>
          <w:rFonts w:cs="Times New Roman"/>
        </w:rPr>
        <w:t xml:space="preserve"> коммерческие</w:t>
      </w:r>
      <w:r w:rsidRPr="0009774C">
        <w:rPr>
          <w:rFonts w:cs="Times New Roman"/>
        </w:rPr>
        <w:t xml:space="preserve"> </w:t>
      </w:r>
      <w:r w:rsidR="00925FEE" w:rsidRPr="0009774C">
        <w:rPr>
          <w:rFonts w:cs="Times New Roman"/>
        </w:rPr>
        <w:t>банки</w:t>
      </w:r>
      <w:r w:rsidR="00842F10" w:rsidRPr="0009774C">
        <w:rPr>
          <w:rFonts w:cs="Times New Roman"/>
        </w:rPr>
        <w:t>,</w:t>
      </w:r>
      <w:r w:rsidR="00C1657F" w:rsidRPr="0009774C">
        <w:rPr>
          <w:rFonts w:cs="Times New Roman"/>
        </w:rPr>
        <w:t xml:space="preserve"> имеющие структурные подразделения и</w:t>
      </w:r>
      <w:r w:rsidRPr="0009774C">
        <w:rPr>
          <w:rFonts w:cs="Times New Roman"/>
        </w:rPr>
        <w:t xml:space="preserve"> осуществляющи</w:t>
      </w:r>
      <w:r w:rsidR="00C1657F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09774C">
        <w:rPr>
          <w:rFonts w:cs="Times New Roman"/>
        </w:rPr>
        <w:t>, а также</w:t>
      </w:r>
      <w:r w:rsidR="006300DC" w:rsidRPr="0009774C">
        <w:rPr>
          <w:rFonts w:cs="Times New Roman"/>
        </w:rPr>
        <w:t xml:space="preserve"> соответствующие </w:t>
      </w:r>
      <w:r w:rsidR="00293949" w:rsidRPr="0009774C">
        <w:rPr>
          <w:rFonts w:cs="Times New Roman"/>
        </w:rPr>
        <w:t>требованиям</w:t>
      </w:r>
      <w:r w:rsidR="006300DC" w:rsidRPr="0009774C">
        <w:rPr>
          <w:rFonts w:cs="Times New Roman"/>
        </w:rPr>
        <w:t xml:space="preserve">, указанным в разделе 3 настоящего </w:t>
      </w:r>
      <w:r w:rsidR="004160B5" w:rsidRPr="0009774C">
        <w:rPr>
          <w:rFonts w:cs="Times New Roman"/>
        </w:rPr>
        <w:t>П</w:t>
      </w:r>
      <w:r w:rsidR="006300DC" w:rsidRPr="0009774C">
        <w:rPr>
          <w:rFonts w:cs="Times New Roman"/>
        </w:rPr>
        <w:t>орядка.</w:t>
      </w:r>
    </w:p>
    <w:p w:rsidR="0031700D" w:rsidRPr="0009774C" w:rsidRDefault="00BD332F" w:rsidP="00DA7963">
      <w:pPr>
        <w:ind w:firstLine="567"/>
        <w:jc w:val="both"/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4</w:t>
      </w:r>
      <w:r w:rsidRPr="0009774C">
        <w:rPr>
          <w:rFonts w:cs="Times New Roman"/>
        </w:rPr>
        <w:t xml:space="preserve">. По итогам проведения </w:t>
      </w:r>
      <w:r w:rsidR="00362FED" w:rsidRPr="0009774C">
        <w:rPr>
          <w:rFonts w:cs="Times New Roman"/>
        </w:rPr>
        <w:t>конкурса</w:t>
      </w:r>
      <w:r w:rsidRPr="0009774C">
        <w:rPr>
          <w:rFonts w:cs="Times New Roman"/>
        </w:rPr>
        <w:t xml:space="preserve"> определяется его победитель (победители), который (</w:t>
      </w:r>
      <w:r w:rsidR="0035401D" w:rsidRPr="0009774C">
        <w:rPr>
          <w:rFonts w:cs="Times New Roman"/>
        </w:rPr>
        <w:t>-</w:t>
      </w:r>
      <w:r w:rsidRPr="0009774C">
        <w:rPr>
          <w:rFonts w:cs="Times New Roman"/>
        </w:rPr>
        <w:t>ые) получают право</w:t>
      </w:r>
      <w:r w:rsidR="00925FEE" w:rsidRPr="0009774C">
        <w:rPr>
          <w:rFonts w:cs="Times New Roman"/>
        </w:rPr>
        <w:t xml:space="preserve"> на заключение договора</w:t>
      </w:r>
      <w:r w:rsidR="0031700D" w:rsidRPr="0009774C">
        <w:rPr>
          <w:rFonts w:cs="Times New Roman"/>
        </w:rPr>
        <w:t xml:space="preserve"> банковского</w:t>
      </w:r>
      <w:r w:rsidR="00925FEE" w:rsidRPr="0009774C">
        <w:rPr>
          <w:rFonts w:cs="Times New Roman"/>
        </w:rPr>
        <w:t xml:space="preserve"> вклада (депозита).</w:t>
      </w:r>
      <w:r w:rsidR="0031700D" w:rsidRPr="0009774C">
        <w:t xml:space="preserve"> 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5</w:t>
      </w:r>
      <w:r w:rsidRPr="0009774C">
        <w:rPr>
          <w:rFonts w:cs="Times New Roman"/>
        </w:rPr>
        <w:t xml:space="preserve">. </w:t>
      </w:r>
      <w:r w:rsidR="00DA7963" w:rsidRPr="0009774C">
        <w:rPr>
          <w:rFonts w:cs="Times New Roman"/>
        </w:rPr>
        <w:t xml:space="preserve">В целях проведения </w:t>
      </w:r>
      <w:r w:rsidR="009E7E41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банков</w:t>
      </w:r>
      <w:r w:rsidR="00DA7963" w:rsidRPr="0009774C">
        <w:rPr>
          <w:rFonts w:cs="Times New Roman"/>
        </w:rPr>
        <w:t xml:space="preserve"> Фонд размещает на официальном сайте в сети Интернет www.</w:t>
      </w:r>
      <w:r w:rsidRPr="0009774C">
        <w:rPr>
          <w:rFonts w:cs="Times New Roman"/>
          <w:lang w:val="en-US"/>
        </w:rPr>
        <w:t>fond</w:t>
      </w:r>
      <w:r w:rsidRPr="0009774C">
        <w:rPr>
          <w:rFonts w:cs="Times New Roman"/>
        </w:rPr>
        <w:t>87.</w:t>
      </w:r>
      <w:r w:rsidR="00DA7963" w:rsidRPr="0009774C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925FEE" w:rsidRPr="0009774C">
        <w:rPr>
          <w:rFonts w:cs="Times New Roman"/>
        </w:rPr>
        <w:t xml:space="preserve">банков </w:t>
      </w:r>
      <w:r w:rsidR="00362FED" w:rsidRPr="0009774C">
        <w:rPr>
          <w:rFonts w:cs="Times New Roman"/>
        </w:rPr>
        <w:t>на</w:t>
      </w:r>
      <w:r w:rsidR="00925FEE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заключение договора банковского вклада (депозита).</w:t>
      </w:r>
    </w:p>
    <w:p w:rsidR="004A241C" w:rsidRPr="0009774C" w:rsidRDefault="0035401D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25FEE" w:rsidRPr="0009774C">
        <w:rPr>
          <w:rFonts w:cs="Times New Roman"/>
        </w:rPr>
        <w:t>6</w:t>
      </w:r>
      <w:r w:rsidRPr="0009774C">
        <w:rPr>
          <w:rFonts w:cs="Times New Roman"/>
        </w:rPr>
        <w:t xml:space="preserve">. </w:t>
      </w:r>
      <w:r w:rsidR="004A241C" w:rsidRPr="0009774C">
        <w:rPr>
          <w:rFonts w:cs="Times New Roman"/>
        </w:rPr>
        <w:t xml:space="preserve">Информационное сообщение о проведении </w:t>
      </w:r>
      <w:r w:rsidR="009E7E41" w:rsidRPr="0009774C">
        <w:rPr>
          <w:rFonts w:cs="Times New Roman"/>
        </w:rPr>
        <w:t>конкурса по отбору</w:t>
      </w:r>
      <w:r w:rsidR="004A241C" w:rsidRPr="0009774C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09774C">
        <w:rPr>
          <w:rFonts w:cs="Times New Roman"/>
        </w:rPr>
        <w:t>ь</w:t>
      </w:r>
      <w:r w:rsidR="004A241C" w:rsidRPr="0009774C">
        <w:rPr>
          <w:rFonts w:cs="Times New Roman"/>
        </w:rPr>
        <w:t>) дней до даты окончания приема документов.</w:t>
      </w:r>
    </w:p>
    <w:p w:rsidR="002D5FED" w:rsidRPr="0009774C" w:rsidRDefault="002D5FED" w:rsidP="002D5FED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а)</w:t>
      </w:r>
      <w:r w:rsidR="00925FEE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предмет</w:t>
      </w:r>
      <w:r w:rsidR="00925FEE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конкурса;</w:t>
      </w:r>
    </w:p>
    <w:p w:rsidR="003A7726" w:rsidRPr="0009774C" w:rsidRDefault="00A95B07" w:rsidP="003A772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б)</w:t>
      </w:r>
      <w:r w:rsidR="00925FEE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в)</w:t>
      </w:r>
      <w:r w:rsidR="00925FEE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требования</w:t>
      </w:r>
      <w:r w:rsidR="00925FEE" w:rsidRPr="0009774C">
        <w:rPr>
          <w:rFonts w:cs="Times New Roman"/>
        </w:rPr>
        <w:t>х</w:t>
      </w:r>
      <w:r w:rsidRPr="0009774C">
        <w:rPr>
          <w:rFonts w:cs="Times New Roman"/>
        </w:rPr>
        <w:t xml:space="preserve"> к участникам конкурса</w:t>
      </w:r>
      <w:r w:rsidR="00925FEE" w:rsidRPr="0009774C">
        <w:rPr>
          <w:rFonts w:cs="Times New Roman"/>
        </w:rPr>
        <w:t xml:space="preserve"> (ссылку на настоящий Порядок)</w:t>
      </w:r>
      <w:r w:rsidRPr="0009774C">
        <w:rPr>
          <w:rFonts w:cs="Times New Roman"/>
        </w:rPr>
        <w:t>;</w:t>
      </w:r>
    </w:p>
    <w:p w:rsidR="00A95B07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г)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срок</w:t>
      </w:r>
      <w:r w:rsidR="00530D4F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подачи заявок и срок проведения конкурса;</w:t>
      </w:r>
    </w:p>
    <w:p w:rsidR="002D5FED" w:rsidRPr="0009774C" w:rsidRDefault="00A95B07" w:rsidP="00A95B0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д)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адрес</w:t>
      </w:r>
      <w:r w:rsidR="00530D4F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времени приема).</w:t>
      </w:r>
    </w:p>
    <w:p w:rsidR="00C62D03" w:rsidRPr="0009774C" w:rsidRDefault="00C62D0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30D4F" w:rsidRPr="0009774C">
        <w:rPr>
          <w:rFonts w:cs="Times New Roman"/>
        </w:rPr>
        <w:t>7</w:t>
      </w:r>
      <w:r w:rsidRPr="0009774C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30D4F" w:rsidRPr="0009774C">
        <w:rPr>
          <w:rFonts w:cs="Times New Roman"/>
        </w:rPr>
        <w:t>8</w:t>
      </w:r>
      <w:r w:rsidR="00DA7963" w:rsidRPr="0009774C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09774C">
        <w:rPr>
          <w:rFonts w:cs="Times New Roman"/>
        </w:rPr>
        <w:t>конкурса по отбору</w:t>
      </w:r>
      <w:r w:rsidR="00C920F1" w:rsidRPr="0009774C">
        <w:rPr>
          <w:rFonts w:cs="Times New Roman"/>
        </w:rPr>
        <w:t xml:space="preserve"> коммерческих</w:t>
      </w:r>
      <w:r w:rsidR="00362FED" w:rsidRPr="0009774C">
        <w:rPr>
          <w:rFonts w:cs="Times New Roman"/>
        </w:rPr>
        <w:t xml:space="preserve"> банков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любой</w:t>
      </w:r>
      <w:r w:rsidR="00C920F1" w:rsidRPr="0009774C">
        <w:rPr>
          <w:rFonts w:cs="Times New Roman"/>
        </w:rPr>
        <w:t xml:space="preserve"> коммерческих</w:t>
      </w:r>
      <w:r w:rsidR="00530D4F" w:rsidRPr="0009774C">
        <w:rPr>
          <w:rFonts w:cs="Times New Roman"/>
        </w:rPr>
        <w:t xml:space="preserve"> банк</w:t>
      </w:r>
      <w:r w:rsidR="00DA7963" w:rsidRPr="0009774C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09774C">
        <w:rPr>
          <w:rFonts w:cs="Times New Roman"/>
        </w:rPr>
        <w:t>3</w:t>
      </w:r>
      <w:r w:rsidR="00DA7963" w:rsidRPr="0009774C">
        <w:rPr>
          <w:rFonts w:cs="Times New Roman"/>
        </w:rPr>
        <w:t xml:space="preserve"> (</w:t>
      </w:r>
      <w:r w:rsidR="00D85CBE" w:rsidRPr="0009774C">
        <w:rPr>
          <w:rFonts w:cs="Times New Roman"/>
        </w:rPr>
        <w:t>Трех</w:t>
      </w:r>
      <w:r w:rsidR="00DA7963" w:rsidRPr="0009774C">
        <w:rPr>
          <w:rFonts w:cs="Times New Roman"/>
        </w:rPr>
        <w:t>) рабочих дней со дня поступления вышеуказанного запроса направляет в</w:t>
      </w:r>
      <w:r w:rsidR="00C920F1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09774C" w:rsidRDefault="00EB4A6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30D4F" w:rsidRPr="0009774C">
        <w:rPr>
          <w:rFonts w:cs="Times New Roman"/>
        </w:rPr>
        <w:t>9</w:t>
      </w:r>
      <w:r w:rsidR="00DA7963" w:rsidRPr="0009774C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09774C">
        <w:rPr>
          <w:rFonts w:cs="Times New Roman"/>
        </w:rPr>
        <w:t>новую</w:t>
      </w:r>
      <w:r w:rsidR="00DA7963" w:rsidRPr="0009774C">
        <w:rPr>
          <w:rFonts w:cs="Times New Roman"/>
        </w:rPr>
        <w:t xml:space="preserve"> редакцию настоящего Порядка. </w:t>
      </w:r>
    </w:p>
    <w:p w:rsidR="00D85CBE" w:rsidRPr="0009774C" w:rsidRDefault="00D85CBE" w:rsidP="00D85CB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30D4F" w:rsidRPr="0009774C">
        <w:rPr>
          <w:rFonts w:cs="Times New Roman"/>
        </w:rPr>
        <w:t>10</w:t>
      </w:r>
      <w:r w:rsidRPr="0009774C">
        <w:rPr>
          <w:rFonts w:cs="Times New Roman"/>
        </w:rPr>
        <w:t xml:space="preserve">. </w:t>
      </w:r>
      <w:r w:rsidR="00C920F1" w:rsidRPr="0009774C">
        <w:rPr>
          <w:rFonts w:cs="Times New Roman"/>
        </w:rPr>
        <w:t>Коммерческие б</w:t>
      </w:r>
      <w:r w:rsidR="00530D4F" w:rsidRPr="0009774C">
        <w:rPr>
          <w:rFonts w:cs="Times New Roman"/>
        </w:rPr>
        <w:t>анки</w:t>
      </w:r>
      <w:r w:rsidRPr="0009774C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62D03" w:rsidRPr="0009774C">
        <w:rPr>
          <w:rFonts w:cs="Times New Roman"/>
        </w:rPr>
        <w:t>1</w:t>
      </w:r>
      <w:r w:rsidR="00530D4F" w:rsidRPr="0009774C">
        <w:rPr>
          <w:rFonts w:cs="Times New Roman"/>
        </w:rPr>
        <w:t>1</w:t>
      </w:r>
      <w:r w:rsidR="00DA7963" w:rsidRPr="0009774C">
        <w:rPr>
          <w:rFonts w:cs="Times New Roman"/>
        </w:rPr>
        <w:t>. Со дня</w:t>
      </w:r>
      <w:r w:rsidR="00E40AA1" w:rsidRPr="0009774C">
        <w:rPr>
          <w:rFonts w:cs="Times New Roman"/>
        </w:rPr>
        <w:t>, следующего за днем</w:t>
      </w:r>
      <w:r w:rsidR="00DA7963" w:rsidRPr="0009774C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09774C">
        <w:rPr>
          <w:rFonts w:cs="Times New Roman"/>
        </w:rPr>
        <w:t>конкурса</w:t>
      </w:r>
      <w:r w:rsidR="00E40AA1" w:rsidRPr="0009774C">
        <w:rPr>
          <w:rFonts w:cs="Times New Roman"/>
        </w:rPr>
        <w:t>,</w:t>
      </w:r>
      <w:r w:rsidR="00C920F1" w:rsidRPr="0009774C">
        <w:rPr>
          <w:rFonts w:cs="Times New Roman"/>
        </w:rPr>
        <w:t xml:space="preserve"> коммерческие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банки</w:t>
      </w:r>
      <w:r w:rsidR="00DA7963" w:rsidRPr="0009774C">
        <w:rPr>
          <w:rFonts w:cs="Times New Roman"/>
        </w:rPr>
        <w:t>, соответствующие условиям</w:t>
      </w:r>
      <w:r w:rsidR="00045BEF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 xml:space="preserve">п. </w:t>
      </w:r>
      <w:r w:rsidR="00530D4F" w:rsidRPr="0009774C">
        <w:rPr>
          <w:rFonts w:cs="Times New Roman"/>
        </w:rPr>
        <w:t>2.3</w:t>
      </w:r>
      <w:r w:rsidR="00045BEF" w:rsidRPr="0009774C">
        <w:rPr>
          <w:rFonts w:cs="Times New Roman"/>
        </w:rPr>
        <w:t xml:space="preserve"> настоящего порядка</w:t>
      </w:r>
      <w:r w:rsidR="00DA7963" w:rsidRPr="0009774C">
        <w:rPr>
          <w:rFonts w:cs="Times New Roman"/>
        </w:rPr>
        <w:t xml:space="preserve"> и критериям отбора</w:t>
      </w:r>
      <w:r w:rsidR="00C920F1" w:rsidRPr="0009774C">
        <w:rPr>
          <w:rFonts w:cs="Times New Roman"/>
        </w:rPr>
        <w:t xml:space="preserve"> коммерческих</w:t>
      </w:r>
      <w:r w:rsidR="00DA7963" w:rsidRPr="0009774C">
        <w:rPr>
          <w:rFonts w:cs="Times New Roman"/>
        </w:rPr>
        <w:t xml:space="preserve"> </w:t>
      </w:r>
      <w:r w:rsidR="00530D4F" w:rsidRPr="0009774C">
        <w:rPr>
          <w:rFonts w:cs="Times New Roman"/>
        </w:rPr>
        <w:t>банков</w:t>
      </w:r>
      <w:r w:rsidR="00DA7963" w:rsidRPr="0009774C">
        <w:rPr>
          <w:rFonts w:cs="Times New Roman"/>
        </w:rPr>
        <w:t xml:space="preserve">, установленным разделом </w:t>
      </w:r>
      <w:r w:rsidRPr="0009774C">
        <w:rPr>
          <w:rFonts w:cs="Times New Roman"/>
        </w:rPr>
        <w:t>3</w:t>
      </w:r>
      <w:r w:rsidR="00DA7963" w:rsidRPr="0009774C">
        <w:rPr>
          <w:rFonts w:cs="Times New Roman"/>
        </w:rPr>
        <w:t xml:space="preserve"> настоящего Поряд</w:t>
      </w:r>
      <w:r w:rsidR="00E9411B" w:rsidRPr="0009774C">
        <w:rPr>
          <w:rFonts w:cs="Times New Roman"/>
        </w:rPr>
        <w:t xml:space="preserve">ка, вправе участвовать в </w:t>
      </w:r>
      <w:r w:rsidR="009E7E41" w:rsidRPr="0009774C">
        <w:rPr>
          <w:rFonts w:cs="Times New Roman"/>
        </w:rPr>
        <w:t>конкурсе</w:t>
      </w:r>
      <w:r w:rsidR="00DA7963" w:rsidRPr="0009774C">
        <w:rPr>
          <w:rFonts w:cs="Times New Roman"/>
        </w:rPr>
        <w:t xml:space="preserve"> </w:t>
      </w:r>
      <w:r w:rsidR="00E9411B" w:rsidRPr="0009774C">
        <w:rPr>
          <w:rFonts w:cs="Times New Roman"/>
        </w:rPr>
        <w:t>для</w:t>
      </w:r>
      <w:r w:rsidR="00DA7963" w:rsidRPr="0009774C">
        <w:rPr>
          <w:rFonts w:cs="Times New Roman"/>
        </w:rPr>
        <w:t xml:space="preserve"> заключения </w:t>
      </w:r>
      <w:r w:rsidR="00E9411B" w:rsidRPr="0009774C">
        <w:rPr>
          <w:rFonts w:cs="Times New Roman"/>
        </w:rPr>
        <w:t>договора банковского вклада (депозита)</w:t>
      </w:r>
      <w:r w:rsidR="00DA7963" w:rsidRPr="0009774C">
        <w:rPr>
          <w:rFonts w:cs="Times New Roman"/>
        </w:rPr>
        <w:t xml:space="preserve">. 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C62D03" w:rsidRPr="0009774C">
        <w:rPr>
          <w:rFonts w:cs="Times New Roman"/>
        </w:rPr>
        <w:t>1</w:t>
      </w:r>
      <w:r w:rsidR="002244B9" w:rsidRPr="0009774C">
        <w:rPr>
          <w:rFonts w:cs="Times New Roman"/>
        </w:rPr>
        <w:t>2</w:t>
      </w:r>
      <w:r w:rsidR="00C62D03" w:rsidRPr="0009774C">
        <w:rPr>
          <w:rFonts w:cs="Times New Roman"/>
        </w:rPr>
        <w:t>.</w:t>
      </w:r>
      <w:r w:rsidRPr="0009774C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09774C" w:rsidRDefault="00C62D0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6F1F1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3</w:t>
      </w:r>
      <w:r w:rsidR="006F1F13" w:rsidRPr="0009774C">
        <w:rPr>
          <w:rFonts w:cs="Times New Roman"/>
        </w:rPr>
        <w:t xml:space="preserve">. </w:t>
      </w:r>
      <w:r w:rsidRPr="0009774C">
        <w:rPr>
          <w:rFonts w:cs="Times New Roman"/>
        </w:rPr>
        <w:t>У</w:t>
      </w:r>
      <w:r w:rsidR="006F1F13" w:rsidRPr="0009774C">
        <w:rPr>
          <w:rFonts w:cs="Times New Roman"/>
        </w:rPr>
        <w:t>частие</w:t>
      </w:r>
      <w:r w:rsidR="00C920F1" w:rsidRPr="0009774C">
        <w:rPr>
          <w:rFonts w:cs="Times New Roman"/>
        </w:rPr>
        <w:t xml:space="preserve"> коммерческого</w:t>
      </w:r>
      <w:r w:rsidR="006F1F1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 xml:space="preserve">банка </w:t>
      </w:r>
      <w:r w:rsidR="006F1F13" w:rsidRPr="0009774C">
        <w:rPr>
          <w:rFonts w:cs="Times New Roman"/>
        </w:rPr>
        <w:t>в конкурсе означает факт полного согласия</w:t>
      </w:r>
      <w:r w:rsidR="00C920F1" w:rsidRPr="0009774C">
        <w:rPr>
          <w:rFonts w:cs="Times New Roman"/>
        </w:rPr>
        <w:t xml:space="preserve"> коммерческого</w:t>
      </w:r>
      <w:r w:rsidR="006F1F1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="006F1F13" w:rsidRPr="0009774C">
        <w:rPr>
          <w:rFonts w:cs="Times New Roman"/>
        </w:rPr>
        <w:t xml:space="preserve"> с условиями проведения конкурса, установленными настоящим По</w:t>
      </w:r>
      <w:r w:rsidRPr="0009774C">
        <w:rPr>
          <w:rFonts w:cs="Times New Roman"/>
        </w:rPr>
        <w:t>рядком</w:t>
      </w:r>
      <w:r w:rsidR="006F1F13" w:rsidRPr="0009774C">
        <w:rPr>
          <w:rFonts w:cs="Times New Roman"/>
        </w:rPr>
        <w:t>.</w:t>
      </w:r>
    </w:p>
    <w:p w:rsidR="006F1F13" w:rsidRPr="0009774C" w:rsidRDefault="00C62D0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6F1F1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4</w:t>
      </w:r>
      <w:r w:rsidR="006F1F13" w:rsidRPr="0009774C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1855FC" w:rsidRPr="0009774C">
        <w:rPr>
          <w:rFonts w:cs="Times New Roman"/>
        </w:rPr>
        <w:t>1</w:t>
      </w:r>
      <w:r w:rsidR="000867C1" w:rsidRPr="0009774C">
        <w:rPr>
          <w:rFonts w:cs="Times New Roman"/>
        </w:rPr>
        <w:t>5</w:t>
      </w:r>
      <w:r w:rsidR="00DA7963" w:rsidRPr="0009774C">
        <w:rPr>
          <w:rFonts w:cs="Times New Roman"/>
        </w:rPr>
        <w:t xml:space="preserve">. Для участия в </w:t>
      </w:r>
      <w:r w:rsidR="00096BC2" w:rsidRPr="0009774C">
        <w:rPr>
          <w:rFonts w:cs="Times New Roman"/>
        </w:rPr>
        <w:t>конкурсе</w:t>
      </w:r>
      <w:r w:rsidR="00C920F1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09774C">
        <w:rPr>
          <w:rFonts w:cs="Times New Roman"/>
        </w:rPr>
        <w:t>и</w:t>
      </w:r>
      <w:r w:rsidR="00DA7963" w:rsidRPr="0009774C">
        <w:rPr>
          <w:rFonts w:cs="Times New Roman"/>
        </w:rPr>
        <w:t xml:space="preserve"> 3 к Порядку (далее – документы). </w:t>
      </w:r>
    </w:p>
    <w:p w:rsidR="00776B48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6</w:t>
      </w:r>
      <w:r w:rsidR="00DA7963" w:rsidRPr="0009774C">
        <w:rPr>
          <w:rFonts w:cs="Times New Roman"/>
        </w:rPr>
        <w:t xml:space="preserve">. Прием заявок на участие в </w:t>
      </w:r>
      <w:r w:rsidR="00096BC2" w:rsidRPr="0009774C">
        <w:rPr>
          <w:rFonts w:cs="Times New Roman"/>
        </w:rPr>
        <w:t>конкурсе по отбору</w:t>
      </w:r>
      <w:r w:rsidR="00C920F1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 </w:t>
      </w:r>
      <w:r w:rsidR="00DA7963" w:rsidRPr="0009774C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09774C">
        <w:rPr>
          <w:rFonts w:cs="Times New Roman"/>
        </w:rPr>
        <w:t>конкурса</w:t>
      </w:r>
      <w:r w:rsidR="00DA7963" w:rsidRPr="0009774C">
        <w:rPr>
          <w:rFonts w:cs="Times New Roman"/>
        </w:rPr>
        <w:t xml:space="preserve">. </w:t>
      </w:r>
      <w:r w:rsidR="00776B48" w:rsidRPr="0009774C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1</w:t>
      </w:r>
      <w:r w:rsidR="000867C1" w:rsidRPr="0009774C">
        <w:rPr>
          <w:rFonts w:cs="Times New Roman"/>
        </w:rPr>
        <w:t>7</w:t>
      </w:r>
      <w:r w:rsidR="00DA7963" w:rsidRPr="0009774C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C920F1" w:rsidRPr="0009774C">
        <w:rPr>
          <w:rFonts w:cs="Times New Roman"/>
        </w:rPr>
        <w:t>Коммерческий б</w:t>
      </w:r>
      <w:r w:rsidR="000867C1" w:rsidRPr="0009774C">
        <w:rPr>
          <w:rFonts w:cs="Times New Roman"/>
        </w:rPr>
        <w:t>анк</w:t>
      </w:r>
      <w:r w:rsidR="00DA7963" w:rsidRPr="0009774C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.1</w:t>
      </w:r>
      <w:r w:rsidR="000867C1" w:rsidRPr="0009774C">
        <w:rPr>
          <w:rFonts w:cs="Times New Roman"/>
        </w:rPr>
        <w:t>8</w:t>
      </w:r>
      <w:r w:rsidR="00DA7963" w:rsidRPr="0009774C">
        <w:rPr>
          <w:rFonts w:cs="Times New Roman"/>
        </w:rPr>
        <w:t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</w:t>
      </w:r>
      <w:r w:rsidR="00C920F1" w:rsidRPr="0009774C">
        <w:rPr>
          <w:rFonts w:cs="Times New Roman"/>
        </w:rPr>
        <w:t xml:space="preserve"> коммерческого б</w:t>
      </w:r>
      <w:r w:rsidR="000867C1" w:rsidRPr="0009774C">
        <w:rPr>
          <w:rFonts w:cs="Times New Roman"/>
        </w:rPr>
        <w:t>анка</w:t>
      </w:r>
      <w:r w:rsidR="00DA7963" w:rsidRPr="0009774C">
        <w:rPr>
          <w:rFonts w:cs="Times New Roman"/>
        </w:rPr>
        <w:t xml:space="preserve">.  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.1</w:t>
      </w:r>
      <w:r w:rsidR="000867C1" w:rsidRPr="0009774C">
        <w:rPr>
          <w:rFonts w:cs="Times New Roman"/>
        </w:rPr>
        <w:t>9</w:t>
      </w:r>
      <w:r w:rsidR="00DA7963" w:rsidRPr="0009774C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09774C" w:rsidRDefault="00983396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0867C1" w:rsidRPr="0009774C">
        <w:rPr>
          <w:rFonts w:cs="Times New Roman"/>
        </w:rPr>
        <w:t>20</w:t>
      </w:r>
      <w:r w:rsidR="00DA7963" w:rsidRPr="0009774C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09774C" w:rsidRDefault="006F1F1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C3547F" w:rsidRPr="0009774C">
        <w:rPr>
          <w:rFonts w:cs="Times New Roman"/>
        </w:rPr>
        <w:t>2</w:t>
      </w:r>
      <w:r w:rsidR="000867C1" w:rsidRPr="0009774C">
        <w:rPr>
          <w:rFonts w:cs="Times New Roman"/>
        </w:rPr>
        <w:t>1</w:t>
      </w:r>
      <w:r w:rsidRPr="0009774C">
        <w:rPr>
          <w:rFonts w:cs="Times New Roman"/>
        </w:rPr>
        <w:t xml:space="preserve">. </w:t>
      </w:r>
      <w:r w:rsidR="000867C1" w:rsidRPr="0009774C">
        <w:rPr>
          <w:rFonts w:cs="Times New Roman"/>
        </w:rPr>
        <w:t>Претендент</w:t>
      </w:r>
      <w:r w:rsidRPr="0009774C">
        <w:rPr>
          <w:rFonts w:cs="Times New Roman"/>
        </w:rPr>
        <w:t xml:space="preserve"> пода</w:t>
      </w:r>
      <w:r w:rsidR="00903EAF" w:rsidRPr="0009774C">
        <w:rPr>
          <w:rFonts w:cs="Times New Roman"/>
        </w:rPr>
        <w:t>ет</w:t>
      </w:r>
      <w:r w:rsidRPr="0009774C">
        <w:rPr>
          <w:rFonts w:cs="Times New Roman"/>
        </w:rPr>
        <w:t xml:space="preserve"> одну заявку</w:t>
      </w:r>
      <w:r w:rsidR="00903EAF" w:rsidRPr="0009774C">
        <w:rPr>
          <w:rFonts w:cs="Times New Roman"/>
        </w:rPr>
        <w:t>, где указывает предлагаемые условия по</w:t>
      </w:r>
      <w:r w:rsidR="000867C1" w:rsidRPr="0009774C">
        <w:rPr>
          <w:rFonts w:cs="Times New Roman"/>
        </w:rPr>
        <w:t xml:space="preserve"> </w:t>
      </w:r>
      <w:r w:rsidR="003A7726" w:rsidRPr="0009774C">
        <w:rPr>
          <w:rFonts w:cs="Times New Roman"/>
        </w:rPr>
        <w:t>кажд</w:t>
      </w:r>
      <w:r w:rsidR="00903EAF" w:rsidRPr="0009774C">
        <w:rPr>
          <w:rFonts w:cs="Times New Roman"/>
        </w:rPr>
        <w:t xml:space="preserve">ому заинтересовавшему </w:t>
      </w:r>
      <w:r w:rsidR="000867C1" w:rsidRPr="0009774C">
        <w:rPr>
          <w:rFonts w:cs="Times New Roman"/>
        </w:rPr>
        <w:t>лот</w:t>
      </w:r>
      <w:r w:rsidR="00903EAF" w:rsidRPr="0009774C">
        <w:rPr>
          <w:rFonts w:cs="Times New Roman"/>
        </w:rPr>
        <w:t>у</w:t>
      </w:r>
      <w:r w:rsidR="000867C1" w:rsidRPr="0009774C">
        <w:rPr>
          <w:rFonts w:cs="Times New Roman"/>
        </w:rPr>
        <w:t>, заявленн</w:t>
      </w:r>
      <w:r w:rsidR="00903EAF" w:rsidRPr="0009774C">
        <w:rPr>
          <w:rFonts w:cs="Times New Roman"/>
        </w:rPr>
        <w:t>ому</w:t>
      </w:r>
      <w:r w:rsidR="000867C1" w:rsidRPr="0009774C">
        <w:rPr>
          <w:rFonts w:cs="Times New Roman"/>
        </w:rPr>
        <w:t xml:space="preserve"> в</w:t>
      </w:r>
      <w:r w:rsidRPr="0009774C">
        <w:rPr>
          <w:rFonts w:cs="Times New Roman"/>
        </w:rPr>
        <w:t xml:space="preserve"> конкурсе.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3547F" w:rsidRPr="0009774C">
        <w:rPr>
          <w:rFonts w:cs="Times New Roman"/>
        </w:rPr>
        <w:t>22</w:t>
      </w:r>
      <w:r w:rsidR="00DA7963" w:rsidRPr="0009774C">
        <w:rPr>
          <w:rFonts w:cs="Times New Roman"/>
        </w:rPr>
        <w:t>. Фонд принимает меры по обеспечению сохранности представленных</w:t>
      </w:r>
      <w:r w:rsidR="00C920F1" w:rsidRPr="0009774C">
        <w:rPr>
          <w:rFonts w:cs="Times New Roman"/>
        </w:rPr>
        <w:t xml:space="preserve"> коммерческими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банками</w:t>
      </w:r>
      <w:r w:rsidR="00DA7963" w:rsidRPr="0009774C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09774C">
        <w:rPr>
          <w:rFonts w:cs="Times New Roman"/>
        </w:rPr>
        <w:t>нкурсной комиссии</w:t>
      </w:r>
      <w:r w:rsidR="00DA7963" w:rsidRPr="0009774C">
        <w:rPr>
          <w:rFonts w:cs="Times New Roman"/>
        </w:rPr>
        <w:t>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C3547F" w:rsidRPr="0009774C">
        <w:rPr>
          <w:rFonts w:cs="Times New Roman"/>
        </w:rPr>
        <w:t>23</w:t>
      </w:r>
      <w:r w:rsidR="00DA7963" w:rsidRPr="0009774C">
        <w:rPr>
          <w:rFonts w:cs="Times New Roman"/>
        </w:rPr>
        <w:t>. Подлинники документов должны быть подписаны уполномоченным лицом</w:t>
      </w:r>
      <w:r w:rsidR="00C920F1" w:rsidRPr="0009774C">
        <w:rPr>
          <w:rFonts w:cs="Times New Roman"/>
        </w:rPr>
        <w:t xml:space="preserve"> коммерческого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Pr="0009774C">
        <w:rPr>
          <w:rFonts w:cs="Times New Roman"/>
        </w:rPr>
        <w:t xml:space="preserve"> </w:t>
      </w:r>
      <w:r w:rsidR="00DA7963" w:rsidRPr="0009774C">
        <w:rPr>
          <w:rFonts w:cs="Times New Roman"/>
        </w:rPr>
        <w:t>и скреплены оттиском печати, а копии документов должны быть заверены п</w:t>
      </w:r>
      <w:r w:rsidRPr="0009774C">
        <w:rPr>
          <w:rFonts w:cs="Times New Roman"/>
        </w:rPr>
        <w:t>о</w:t>
      </w:r>
      <w:r w:rsidR="00DA7963" w:rsidRPr="0009774C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09774C">
        <w:rPr>
          <w:rFonts w:cs="Times New Roman"/>
        </w:rPr>
        <w:t xml:space="preserve"> </w:t>
      </w:r>
      <w:r w:rsidR="00DA7963" w:rsidRPr="0009774C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4</w:t>
      </w:r>
      <w:r w:rsidR="00DA7963" w:rsidRPr="0009774C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5</w:t>
      </w:r>
      <w:r w:rsidR="00DA7963" w:rsidRPr="0009774C">
        <w:rPr>
          <w:rFonts w:cs="Times New Roman"/>
        </w:rPr>
        <w:t xml:space="preserve">. Все представленные </w:t>
      </w:r>
      <w:r w:rsidRPr="0009774C">
        <w:rPr>
          <w:rFonts w:cs="Times New Roman"/>
        </w:rPr>
        <w:t>претендентом</w:t>
      </w:r>
      <w:r w:rsidR="00DA7963" w:rsidRPr="0009774C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Pr="0009774C">
        <w:rPr>
          <w:rFonts w:cs="Times New Roman"/>
        </w:rPr>
        <w:t>2</w:t>
      </w:r>
      <w:r w:rsidR="00C3547F" w:rsidRPr="0009774C">
        <w:rPr>
          <w:rFonts w:cs="Times New Roman"/>
        </w:rPr>
        <w:t>6</w:t>
      </w:r>
      <w:r w:rsidR="00DA7963" w:rsidRPr="0009774C">
        <w:rPr>
          <w:rFonts w:cs="Times New Roman"/>
        </w:rPr>
        <w:t xml:space="preserve">. Представленные в составе заявки на участие в </w:t>
      </w:r>
      <w:r w:rsidR="00096BC2" w:rsidRPr="0009774C">
        <w:rPr>
          <w:rFonts w:cs="Times New Roman"/>
        </w:rPr>
        <w:t>конкурсе</w:t>
      </w:r>
      <w:r w:rsidR="00DA7963" w:rsidRPr="0009774C">
        <w:rPr>
          <w:rFonts w:cs="Times New Roman"/>
        </w:rPr>
        <w:t xml:space="preserve"> документы</w:t>
      </w:r>
      <w:r w:rsidR="000867C1" w:rsidRPr="0009774C">
        <w:rPr>
          <w:rFonts w:cs="Times New Roman"/>
        </w:rPr>
        <w:t xml:space="preserve"> </w:t>
      </w:r>
      <w:r w:rsidR="00C920F1" w:rsidRPr="0009774C">
        <w:rPr>
          <w:rFonts w:cs="Times New Roman"/>
        </w:rPr>
        <w:t xml:space="preserve">коммерческому </w:t>
      </w:r>
      <w:r w:rsidR="000867C1" w:rsidRPr="0009774C">
        <w:rPr>
          <w:rFonts w:cs="Times New Roman"/>
        </w:rPr>
        <w:t>банку не возвращаются</w:t>
      </w:r>
      <w:r w:rsidR="00DA7963" w:rsidRPr="0009774C">
        <w:rPr>
          <w:rFonts w:cs="Times New Roman"/>
        </w:rPr>
        <w:t>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.2</w:t>
      </w:r>
      <w:r w:rsidR="00C3547F" w:rsidRPr="0009774C">
        <w:rPr>
          <w:rFonts w:cs="Times New Roman"/>
        </w:rPr>
        <w:t>7</w:t>
      </w:r>
      <w:r w:rsidR="00DA7963" w:rsidRPr="0009774C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</w:t>
      </w:r>
      <w:r w:rsidR="00096BC2" w:rsidRPr="0009774C">
        <w:rPr>
          <w:rFonts w:cs="Times New Roman"/>
        </w:rPr>
        <w:t>конкурс</w:t>
      </w:r>
      <w:r w:rsidR="00C920F1" w:rsidRPr="0009774C">
        <w:rPr>
          <w:rFonts w:cs="Times New Roman"/>
        </w:rPr>
        <w:t>е</w:t>
      </w:r>
      <w:r w:rsidR="00096BC2" w:rsidRPr="0009774C">
        <w:rPr>
          <w:rFonts w:cs="Times New Roman"/>
        </w:rPr>
        <w:t xml:space="preserve"> по отбору</w:t>
      </w:r>
      <w:r w:rsidR="00C920F1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 </w:t>
      </w:r>
      <w:r w:rsidR="00DA7963" w:rsidRPr="0009774C">
        <w:rPr>
          <w:rFonts w:cs="Times New Roman"/>
        </w:rPr>
        <w:t xml:space="preserve">и других документов, подаваемых </w:t>
      </w:r>
      <w:r w:rsidRPr="0009774C">
        <w:rPr>
          <w:rFonts w:cs="Times New Roman"/>
        </w:rPr>
        <w:t>претендентами</w:t>
      </w:r>
      <w:r w:rsidR="00DA7963" w:rsidRPr="0009774C">
        <w:rPr>
          <w:rFonts w:cs="Times New Roman"/>
        </w:rPr>
        <w:t xml:space="preserve">. </w:t>
      </w:r>
    </w:p>
    <w:p w:rsidR="002D5FED" w:rsidRPr="0009774C" w:rsidRDefault="002D5FED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2.2</w:t>
      </w:r>
      <w:r w:rsidR="00C3547F" w:rsidRPr="0009774C">
        <w:rPr>
          <w:rFonts w:cs="Times New Roman"/>
        </w:rPr>
        <w:t>8</w:t>
      </w:r>
      <w:r w:rsidRPr="0009774C">
        <w:rPr>
          <w:rFonts w:cs="Times New Roman"/>
        </w:rPr>
        <w:t xml:space="preserve">. </w:t>
      </w:r>
      <w:r w:rsidR="00D74017" w:rsidRPr="0009774C">
        <w:rPr>
          <w:rFonts w:cs="Times New Roman"/>
        </w:rPr>
        <w:t>В</w:t>
      </w:r>
      <w:r w:rsidR="00ED64D6" w:rsidRPr="0009774C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09774C">
        <w:rPr>
          <w:rFonts w:cs="Times New Roman"/>
        </w:rPr>
        <w:t xml:space="preserve">подводятся итоги </w:t>
      </w:r>
      <w:r w:rsidR="00096BC2" w:rsidRPr="0009774C">
        <w:rPr>
          <w:rFonts w:cs="Times New Roman"/>
        </w:rPr>
        <w:t>конкурса</w:t>
      </w:r>
      <w:r w:rsidR="00D74017" w:rsidRPr="0009774C">
        <w:rPr>
          <w:rFonts w:cs="Times New Roman"/>
        </w:rPr>
        <w:t xml:space="preserve"> и </w:t>
      </w:r>
      <w:r w:rsidR="00ED64D6" w:rsidRPr="0009774C">
        <w:rPr>
          <w:rFonts w:cs="Times New Roman"/>
        </w:rPr>
        <w:t>определяется победитель (победители)</w:t>
      </w:r>
      <w:r w:rsidR="004D610F" w:rsidRPr="0009774C">
        <w:rPr>
          <w:rFonts w:cs="Times New Roman"/>
        </w:rPr>
        <w:t xml:space="preserve"> по каждому лоту</w:t>
      </w:r>
      <w:r w:rsidR="00ED64D6" w:rsidRPr="0009774C">
        <w:rPr>
          <w:rFonts w:cs="Times New Roman"/>
        </w:rPr>
        <w:t xml:space="preserve">, который (-ые) получают право заключить с Фондом </w:t>
      </w:r>
      <w:r w:rsidR="00EE1947" w:rsidRPr="0009774C">
        <w:rPr>
          <w:rFonts w:cs="Times New Roman"/>
        </w:rPr>
        <w:t>договор банковского вклада (депозита)</w:t>
      </w:r>
      <w:r w:rsidRPr="0009774C">
        <w:rPr>
          <w:rFonts w:cs="Times New Roman"/>
        </w:rPr>
        <w:t>.</w:t>
      </w:r>
    </w:p>
    <w:p w:rsidR="00AB1E43" w:rsidRPr="0009774C" w:rsidRDefault="009772F3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2.29.</w:t>
      </w:r>
      <w:r w:rsidR="000B46D0" w:rsidRPr="0009774C">
        <w:rPr>
          <w:rFonts w:cs="Times New Roman"/>
        </w:rPr>
        <w:t xml:space="preserve"> </w:t>
      </w:r>
      <w:r w:rsidR="00C920F1" w:rsidRPr="0009774C">
        <w:rPr>
          <w:rFonts w:cs="Times New Roman"/>
        </w:rPr>
        <w:t>Коммерческий б</w:t>
      </w:r>
      <w:r w:rsidR="000867C1" w:rsidRPr="0009774C">
        <w:rPr>
          <w:rFonts w:cs="Times New Roman"/>
        </w:rPr>
        <w:t>анк</w:t>
      </w:r>
      <w:r w:rsidR="000B46D0" w:rsidRPr="0009774C">
        <w:rPr>
          <w:rFonts w:cs="Times New Roman"/>
        </w:rPr>
        <w:t>, победивш</w:t>
      </w:r>
      <w:r w:rsidR="000867C1" w:rsidRPr="0009774C">
        <w:rPr>
          <w:rFonts w:cs="Times New Roman"/>
        </w:rPr>
        <w:t>ий</w:t>
      </w:r>
      <w:r w:rsidR="000B46D0" w:rsidRPr="0009774C">
        <w:rPr>
          <w:rFonts w:cs="Times New Roman"/>
        </w:rPr>
        <w:t xml:space="preserve"> в конкурсе, обязан подписать</w:t>
      </w:r>
      <w:r w:rsidR="004D610F" w:rsidRPr="0009774C">
        <w:rPr>
          <w:rFonts w:cs="Times New Roman"/>
        </w:rPr>
        <w:t xml:space="preserve"> по каждому выигравшему лоту</w:t>
      </w:r>
      <w:r w:rsidR="000B46D0" w:rsidRPr="0009774C">
        <w:rPr>
          <w:rFonts w:cs="Times New Roman"/>
        </w:rPr>
        <w:t xml:space="preserve"> </w:t>
      </w:r>
      <w:r w:rsidR="002C1E6F" w:rsidRPr="0009774C">
        <w:rPr>
          <w:rFonts w:cs="Times New Roman"/>
        </w:rPr>
        <w:t>договор банковского вклада (депозита)</w:t>
      </w:r>
      <w:r w:rsidR="000B46D0" w:rsidRPr="0009774C">
        <w:rPr>
          <w:rFonts w:cs="Times New Roman"/>
        </w:rPr>
        <w:t xml:space="preserve"> с Фондом в течение </w:t>
      </w:r>
      <w:r w:rsidR="002C1E6F" w:rsidRPr="0009774C">
        <w:rPr>
          <w:rFonts w:cs="Times New Roman"/>
        </w:rPr>
        <w:t>20</w:t>
      </w:r>
      <w:r w:rsidR="000B46D0" w:rsidRPr="0009774C">
        <w:rPr>
          <w:rFonts w:cs="Times New Roman"/>
        </w:rPr>
        <w:t xml:space="preserve"> (Д</w:t>
      </w:r>
      <w:r w:rsidR="002C1E6F" w:rsidRPr="0009774C">
        <w:rPr>
          <w:rFonts w:cs="Times New Roman"/>
        </w:rPr>
        <w:t>вадцати</w:t>
      </w:r>
      <w:r w:rsidR="000B46D0" w:rsidRPr="0009774C">
        <w:rPr>
          <w:rFonts w:cs="Times New Roman"/>
        </w:rPr>
        <w:t>) рабочи</w:t>
      </w:r>
      <w:r w:rsidR="002C1E6F" w:rsidRPr="0009774C">
        <w:rPr>
          <w:rFonts w:cs="Times New Roman"/>
        </w:rPr>
        <w:t>х дней после проведения конкурса</w:t>
      </w:r>
      <w:r w:rsidR="000B46D0" w:rsidRPr="0009774C">
        <w:rPr>
          <w:rFonts w:cs="Times New Roman"/>
        </w:rPr>
        <w:t>.</w:t>
      </w:r>
    </w:p>
    <w:p w:rsidR="009772F3" w:rsidRPr="0009774C" w:rsidRDefault="006F1F1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772F3" w:rsidRPr="0009774C">
        <w:rPr>
          <w:rFonts w:cs="Times New Roman"/>
        </w:rPr>
        <w:t>30</w:t>
      </w:r>
      <w:r w:rsidRPr="0009774C">
        <w:rPr>
          <w:rFonts w:cs="Times New Roman"/>
        </w:rPr>
        <w:t xml:space="preserve">. </w:t>
      </w:r>
      <w:r w:rsidR="009772F3" w:rsidRPr="0009774C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председатель конкурсной комиссии - представитель Совета Фонда</w:t>
      </w:r>
      <w:r w:rsidR="00C920F1" w:rsidRPr="0009774C">
        <w:rPr>
          <w:rFonts w:cs="Times New Roman"/>
        </w:rPr>
        <w:t>,</w:t>
      </w:r>
      <w:r w:rsidRPr="0009774C">
        <w:rPr>
          <w:rFonts w:cs="Times New Roman"/>
        </w:rPr>
        <w:t xml:space="preserve"> учр</w:t>
      </w:r>
      <w:r w:rsidR="00C920F1" w:rsidRPr="0009774C">
        <w:rPr>
          <w:rFonts w:cs="Times New Roman"/>
        </w:rPr>
        <w:t>едителей Фонда, директор Фонда или лицо, его замещающее</w:t>
      </w:r>
      <w:r w:rsidRPr="0009774C">
        <w:rPr>
          <w:rFonts w:cs="Times New Roman"/>
        </w:rPr>
        <w:t>;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2) члены конкурсной комиссии в количестве четырех человек - представители Совета Фонда</w:t>
      </w:r>
      <w:r w:rsidR="00C920F1" w:rsidRPr="0009774C">
        <w:rPr>
          <w:rFonts w:cs="Times New Roman"/>
        </w:rPr>
        <w:t>,</w:t>
      </w:r>
      <w:r w:rsidRPr="0009774C">
        <w:rPr>
          <w:rFonts w:cs="Times New Roman"/>
        </w:rPr>
        <w:t xml:space="preserve"> учредителей Фонда</w:t>
      </w:r>
      <w:r w:rsidR="00C920F1" w:rsidRPr="0009774C">
        <w:rPr>
          <w:rFonts w:cs="Times New Roman"/>
        </w:rPr>
        <w:t>, работники Фонда</w:t>
      </w:r>
      <w:r w:rsidRPr="0009774C">
        <w:rPr>
          <w:rFonts w:cs="Times New Roman"/>
        </w:rPr>
        <w:t>;</w:t>
      </w:r>
    </w:p>
    <w:p w:rsidR="006F1F1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3) секретарь конкурсной комиссии – </w:t>
      </w:r>
      <w:r w:rsidR="00C920F1" w:rsidRPr="0009774C">
        <w:rPr>
          <w:rFonts w:cs="Times New Roman"/>
        </w:rPr>
        <w:t>помощник д</w:t>
      </w:r>
      <w:r w:rsidRPr="0009774C">
        <w:rPr>
          <w:rFonts w:cs="Times New Roman"/>
        </w:rPr>
        <w:t>иректор</w:t>
      </w:r>
      <w:r w:rsidR="00C920F1" w:rsidRPr="0009774C">
        <w:rPr>
          <w:rFonts w:cs="Times New Roman"/>
        </w:rPr>
        <w:t>а</w:t>
      </w:r>
      <w:r w:rsidRPr="0009774C">
        <w:rPr>
          <w:rFonts w:cs="Times New Roman"/>
        </w:rPr>
        <w:t xml:space="preserve"> Фонда</w:t>
      </w:r>
      <w:r w:rsidR="00C920F1" w:rsidRPr="0009774C">
        <w:rPr>
          <w:rFonts w:cs="Times New Roman"/>
        </w:rPr>
        <w:t xml:space="preserve"> или лицо его замещающее</w:t>
      </w:r>
      <w:r w:rsidRPr="0009774C">
        <w:rPr>
          <w:rFonts w:cs="Times New Roman"/>
        </w:rPr>
        <w:t>.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2.32. Конкурсная комиссия: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1) </w:t>
      </w:r>
      <w:r w:rsidR="000867C1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09774C">
        <w:rPr>
          <w:rFonts w:cs="Times New Roman"/>
        </w:rPr>
        <w:t>конкурсе по отбору</w:t>
      </w:r>
      <w:r w:rsidR="0002369B" w:rsidRPr="0009774C">
        <w:rPr>
          <w:rFonts w:cs="Times New Roman"/>
        </w:rPr>
        <w:t xml:space="preserve"> коммерческих</w:t>
      </w:r>
      <w:r w:rsidR="00096BC2" w:rsidRPr="0009774C">
        <w:rPr>
          <w:rFonts w:cs="Times New Roman"/>
        </w:rPr>
        <w:t xml:space="preserve"> банков</w:t>
      </w:r>
      <w:r w:rsidRPr="0009774C">
        <w:rPr>
          <w:rFonts w:cs="Times New Roman"/>
        </w:rPr>
        <w:t>, оформляет и подписывает соответствующие протоколы;</w:t>
      </w:r>
    </w:p>
    <w:p w:rsidR="006F1F13" w:rsidRPr="0009774C" w:rsidRDefault="009772F3" w:rsidP="009772F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3) определяет победител</w:t>
      </w:r>
      <w:r w:rsidR="00E7080A" w:rsidRPr="0009774C">
        <w:rPr>
          <w:rFonts w:cs="Times New Roman"/>
        </w:rPr>
        <w:t>ей</w:t>
      </w:r>
      <w:r w:rsidRPr="0009774C">
        <w:rPr>
          <w:rFonts w:cs="Times New Roman"/>
        </w:rPr>
        <w:t xml:space="preserve"> конкурса</w:t>
      </w:r>
      <w:r w:rsidR="005F357E" w:rsidRPr="0009774C">
        <w:rPr>
          <w:rFonts w:cs="Times New Roman"/>
        </w:rPr>
        <w:t xml:space="preserve"> по каждому лоту</w:t>
      </w:r>
      <w:r w:rsidRPr="0009774C">
        <w:rPr>
          <w:rFonts w:cs="Times New Roman"/>
        </w:rPr>
        <w:t>, принимает решения по результатам конкурса.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2.3</w:t>
      </w:r>
      <w:r w:rsidR="009772F3" w:rsidRPr="0009774C">
        <w:rPr>
          <w:rFonts w:cs="Times New Roman"/>
        </w:rPr>
        <w:t>3</w:t>
      </w:r>
      <w:r w:rsidRPr="0009774C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</w:t>
      </w:r>
      <w:r w:rsidR="0002369B" w:rsidRPr="0009774C">
        <w:rPr>
          <w:rFonts w:cs="Times New Roman"/>
        </w:rPr>
        <w:t>курсной комиссии не допускается.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772F3" w:rsidRPr="0009774C">
        <w:rPr>
          <w:rFonts w:cs="Times New Roman"/>
        </w:rPr>
        <w:t>34</w:t>
      </w:r>
      <w:r w:rsidRPr="0009774C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09774C" w:rsidRDefault="006F1F13" w:rsidP="006F1F1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522339" w:rsidRPr="0009774C">
        <w:rPr>
          <w:rFonts w:cs="Times New Roman"/>
        </w:rPr>
        <w:t>35</w:t>
      </w:r>
      <w:r w:rsidRPr="0009774C">
        <w:rPr>
          <w:rFonts w:cs="Times New Roman"/>
        </w:rPr>
        <w:t xml:space="preserve">. </w:t>
      </w:r>
      <w:r w:rsidRPr="0009774C">
        <w:rPr>
          <w:rFonts w:cs="Times New Roman"/>
        </w:rPr>
        <w:tab/>
        <w:t>Решени</w:t>
      </w:r>
      <w:r w:rsidR="00522339" w:rsidRPr="0009774C">
        <w:rPr>
          <w:rFonts w:cs="Times New Roman"/>
        </w:rPr>
        <w:t>е</w:t>
      </w:r>
      <w:r w:rsidRPr="0009774C">
        <w:rPr>
          <w:rFonts w:cs="Times New Roman"/>
        </w:rPr>
        <w:t xml:space="preserve"> конкурсной комиссии оформл</w:t>
      </w:r>
      <w:r w:rsidR="00522339" w:rsidRPr="0009774C">
        <w:rPr>
          <w:rFonts w:cs="Times New Roman"/>
        </w:rPr>
        <w:t>яе</w:t>
      </w:r>
      <w:r w:rsidRPr="0009774C">
        <w:rPr>
          <w:rFonts w:cs="Times New Roman"/>
        </w:rPr>
        <w:t>тся протокол</w:t>
      </w:r>
      <w:r w:rsidR="00522339" w:rsidRPr="0009774C">
        <w:rPr>
          <w:rFonts w:cs="Times New Roman"/>
        </w:rPr>
        <w:t>ом</w:t>
      </w:r>
      <w:r w:rsidRPr="0009774C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  <w:r w:rsidR="001F2622" w:rsidRPr="0009774C">
        <w:rPr>
          <w:rFonts w:cs="Times New Roman"/>
        </w:rPr>
        <w:t xml:space="preserve"> Примерная форма протокола приведена в приложении №4 к настоящему Порядку.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В протоколе указывается: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представивших документы для участия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;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допущенных к участию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;</w:t>
      </w:r>
    </w:p>
    <w:p w:rsidR="005F4232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- наименования </w:t>
      </w:r>
      <w:r w:rsidR="0002369B" w:rsidRPr="0009774C">
        <w:rPr>
          <w:rFonts w:cs="Times New Roman"/>
        </w:rPr>
        <w:t xml:space="preserve">коммерческих </w:t>
      </w:r>
      <w:r w:rsidR="000867C1" w:rsidRPr="0009774C">
        <w:rPr>
          <w:rFonts w:cs="Times New Roman"/>
        </w:rPr>
        <w:t>банков</w:t>
      </w:r>
      <w:r w:rsidRPr="0009774C">
        <w:rPr>
          <w:rFonts w:cs="Times New Roman"/>
        </w:rPr>
        <w:t xml:space="preserve">, выигравших </w:t>
      </w:r>
      <w:r w:rsidR="00096BC2" w:rsidRPr="0009774C">
        <w:rPr>
          <w:rFonts w:cs="Times New Roman"/>
        </w:rPr>
        <w:t>конкурс</w:t>
      </w:r>
      <w:r w:rsidRPr="0009774C">
        <w:rPr>
          <w:rFonts w:cs="Times New Roman"/>
        </w:rPr>
        <w:t>.</w:t>
      </w:r>
    </w:p>
    <w:p w:rsidR="000867C1" w:rsidRPr="0009774C" w:rsidRDefault="000867C1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Копия протокола размещается на официальном сайте Фонда.</w:t>
      </w:r>
    </w:p>
    <w:p w:rsidR="00DA7963" w:rsidRPr="0009774C" w:rsidRDefault="005F4232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36</w:t>
      </w:r>
      <w:r w:rsidR="00DA7963" w:rsidRPr="0009774C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09774C">
        <w:rPr>
          <w:rFonts w:cs="Times New Roman"/>
        </w:rPr>
        <w:t>нкурсной комиссии</w:t>
      </w:r>
      <w:r w:rsidR="00DA7963" w:rsidRPr="0009774C">
        <w:rPr>
          <w:rFonts w:cs="Times New Roman"/>
        </w:rPr>
        <w:t xml:space="preserve">.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 xml:space="preserve">. Основаниями для отказа в </w:t>
      </w:r>
      <w:r w:rsidR="002C1E6F" w:rsidRPr="0009774C">
        <w:rPr>
          <w:rFonts w:cs="Times New Roman"/>
        </w:rPr>
        <w:t>заключении договора банковского вклада (депозита)</w:t>
      </w:r>
      <w:r w:rsidR="00DA7963" w:rsidRPr="0009774C">
        <w:rPr>
          <w:rFonts w:cs="Times New Roman"/>
        </w:rPr>
        <w:t xml:space="preserve"> </w:t>
      </w:r>
      <w:r w:rsidR="002C1E6F" w:rsidRPr="0009774C">
        <w:rPr>
          <w:rFonts w:cs="Times New Roman"/>
        </w:rPr>
        <w:t xml:space="preserve">с </w:t>
      </w:r>
      <w:r w:rsidR="0002369B" w:rsidRPr="0009774C">
        <w:rPr>
          <w:rFonts w:cs="Times New Roman"/>
        </w:rPr>
        <w:t xml:space="preserve">коммерческим </w:t>
      </w:r>
      <w:r w:rsidR="002C1E6F" w:rsidRPr="0009774C">
        <w:rPr>
          <w:rFonts w:cs="Times New Roman"/>
        </w:rPr>
        <w:t xml:space="preserve">банком </w:t>
      </w:r>
      <w:r w:rsidR="00DA7963" w:rsidRPr="0009774C">
        <w:rPr>
          <w:rFonts w:cs="Times New Roman"/>
        </w:rPr>
        <w:t xml:space="preserve">являются: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>.1. несоответствие</w:t>
      </w:r>
      <w:r w:rsidR="0002369B" w:rsidRPr="0009774C">
        <w:rPr>
          <w:rFonts w:cs="Times New Roman"/>
        </w:rPr>
        <w:t xml:space="preserve"> коммерческого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банка</w:t>
      </w:r>
      <w:r w:rsidR="00DA7963" w:rsidRPr="0009774C">
        <w:rPr>
          <w:rFonts w:cs="Times New Roman"/>
        </w:rPr>
        <w:t xml:space="preserve"> условиям и критериям отбора, установленным</w:t>
      </w:r>
      <w:r w:rsidR="000867C1" w:rsidRPr="0009774C">
        <w:rPr>
          <w:rFonts w:cs="Times New Roman"/>
        </w:rPr>
        <w:t xml:space="preserve"> </w:t>
      </w:r>
      <w:r w:rsidR="00627C57" w:rsidRPr="0009774C">
        <w:rPr>
          <w:rFonts w:cs="Times New Roman"/>
        </w:rPr>
        <w:t xml:space="preserve">п. </w:t>
      </w:r>
      <w:r w:rsidR="000867C1" w:rsidRPr="0009774C">
        <w:rPr>
          <w:rFonts w:cs="Times New Roman"/>
        </w:rPr>
        <w:t>2.3 и</w:t>
      </w:r>
      <w:r w:rsidR="00DA7963" w:rsidRPr="0009774C">
        <w:rPr>
          <w:rFonts w:cs="Times New Roman"/>
        </w:rPr>
        <w:t xml:space="preserve"> разделом </w:t>
      </w:r>
      <w:r w:rsidRPr="0009774C">
        <w:rPr>
          <w:rFonts w:cs="Times New Roman"/>
        </w:rPr>
        <w:t xml:space="preserve">3 </w:t>
      </w:r>
      <w:r w:rsidR="00DA7963" w:rsidRPr="0009774C">
        <w:rPr>
          <w:rFonts w:cs="Times New Roman"/>
        </w:rPr>
        <w:t xml:space="preserve">настоящего Порядка; </w:t>
      </w:r>
    </w:p>
    <w:p w:rsidR="00DA796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37</w:t>
      </w:r>
      <w:r w:rsidR="00DA7963" w:rsidRPr="0009774C">
        <w:rPr>
          <w:rFonts w:cs="Times New Roman"/>
        </w:rPr>
        <w:t>.2. несоблюдение</w:t>
      </w:r>
      <w:r w:rsidR="0002369B" w:rsidRPr="0009774C">
        <w:rPr>
          <w:rFonts w:cs="Times New Roman"/>
        </w:rPr>
        <w:t xml:space="preserve"> коммерческим</w:t>
      </w:r>
      <w:r w:rsidR="00DA7963" w:rsidRPr="0009774C">
        <w:rPr>
          <w:rFonts w:cs="Times New Roman"/>
        </w:rPr>
        <w:t xml:space="preserve"> </w:t>
      </w:r>
      <w:r w:rsidR="000867C1" w:rsidRPr="0009774C">
        <w:rPr>
          <w:rFonts w:cs="Times New Roman"/>
        </w:rPr>
        <w:t>банком</w:t>
      </w:r>
      <w:r w:rsidR="00DA7963" w:rsidRPr="0009774C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522339" w:rsidRPr="0009774C">
        <w:rPr>
          <w:rFonts w:cs="Times New Roman"/>
        </w:rPr>
        <w:t>38</w:t>
      </w:r>
      <w:r w:rsidR="00DA7963" w:rsidRPr="0009774C">
        <w:rPr>
          <w:rFonts w:cs="Times New Roman"/>
        </w:rPr>
        <w:t xml:space="preserve">. </w:t>
      </w:r>
      <w:r w:rsidR="006F1F13" w:rsidRPr="0009774C">
        <w:rPr>
          <w:rFonts w:cs="Times New Roman"/>
        </w:rPr>
        <w:t>Победителем(</w:t>
      </w:r>
      <w:r w:rsidR="00AC315F" w:rsidRPr="0009774C">
        <w:rPr>
          <w:rFonts w:cs="Times New Roman"/>
        </w:rPr>
        <w:t>-</w:t>
      </w:r>
      <w:r w:rsidR="006F1F13" w:rsidRPr="0009774C">
        <w:rPr>
          <w:rFonts w:cs="Times New Roman"/>
        </w:rPr>
        <w:t>ями) конкурса признаётся(</w:t>
      </w:r>
      <w:r w:rsidR="00AC315F" w:rsidRPr="0009774C">
        <w:rPr>
          <w:rFonts w:cs="Times New Roman"/>
        </w:rPr>
        <w:t>-</w:t>
      </w:r>
      <w:r w:rsidR="006F1F13" w:rsidRPr="0009774C">
        <w:rPr>
          <w:rFonts w:cs="Times New Roman"/>
        </w:rPr>
        <w:t xml:space="preserve">ются) </w:t>
      </w:r>
      <w:r w:rsidR="00522339" w:rsidRPr="0009774C">
        <w:rPr>
          <w:rFonts w:cs="Times New Roman"/>
        </w:rPr>
        <w:t>претенденты</w:t>
      </w:r>
      <w:r w:rsidR="006F1F13" w:rsidRPr="0009774C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09774C">
        <w:rPr>
          <w:rFonts w:cs="Times New Roman"/>
        </w:rPr>
        <w:t>п</w:t>
      </w:r>
      <w:r w:rsidR="006F1F13" w:rsidRPr="0009774C">
        <w:rPr>
          <w:rFonts w:cs="Times New Roman"/>
        </w:rPr>
        <w:t>о</w:t>
      </w:r>
      <w:r w:rsidR="00522339" w:rsidRPr="0009774C">
        <w:rPr>
          <w:rFonts w:cs="Times New Roman"/>
        </w:rPr>
        <w:t>рядка</w:t>
      </w:r>
      <w:r w:rsidR="00401AAE" w:rsidRPr="0009774C">
        <w:rPr>
          <w:rFonts w:cs="Times New Roman"/>
        </w:rPr>
        <w:t>,</w:t>
      </w:r>
      <w:r w:rsidR="008C123B" w:rsidRPr="0009774C">
        <w:rPr>
          <w:rFonts w:cs="Times New Roman"/>
        </w:rPr>
        <w:t xml:space="preserve"> предложившие </w:t>
      </w:r>
      <w:r w:rsidR="000212D5" w:rsidRPr="0009774C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09774C">
        <w:rPr>
          <w:rFonts w:cs="Times New Roman"/>
        </w:rPr>
        <w:t>.</w:t>
      </w:r>
    </w:p>
    <w:p w:rsidR="00F7019A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9C1DF1" w:rsidRPr="0009774C">
        <w:rPr>
          <w:rFonts w:cs="Times New Roman"/>
        </w:rPr>
        <w:t>39</w:t>
      </w:r>
      <w:r w:rsidRPr="0009774C">
        <w:rPr>
          <w:rFonts w:cs="Times New Roman"/>
        </w:rPr>
        <w:t xml:space="preserve">. По итогам </w:t>
      </w:r>
      <w:r w:rsidR="00096BC2" w:rsidRPr="0009774C">
        <w:rPr>
          <w:rFonts w:cs="Times New Roman"/>
        </w:rPr>
        <w:t>конкурса</w:t>
      </w:r>
      <w:r w:rsidRPr="0009774C">
        <w:rPr>
          <w:rFonts w:cs="Times New Roman"/>
        </w:rPr>
        <w:t xml:space="preserve"> </w:t>
      </w:r>
      <w:r w:rsidR="009C1DF1" w:rsidRPr="0009774C">
        <w:rPr>
          <w:rFonts w:cs="Times New Roman"/>
        </w:rPr>
        <w:t>Ф</w:t>
      </w:r>
      <w:r w:rsidRPr="0009774C">
        <w:rPr>
          <w:rFonts w:cs="Times New Roman"/>
        </w:rPr>
        <w:t>онд заключает с</w:t>
      </w:r>
      <w:r w:rsidR="0002369B" w:rsidRPr="0009774C">
        <w:rPr>
          <w:rFonts w:cs="Times New Roman"/>
        </w:rPr>
        <w:t xml:space="preserve"> коммерческими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банками</w:t>
      </w:r>
      <w:r w:rsidRPr="0009774C">
        <w:rPr>
          <w:rFonts w:cs="Times New Roman"/>
        </w:rPr>
        <w:t xml:space="preserve">, </w:t>
      </w:r>
      <w:r w:rsidR="004C6765" w:rsidRPr="0009774C">
        <w:rPr>
          <w:rFonts w:cs="Times New Roman"/>
        </w:rPr>
        <w:t>прошедшими</w:t>
      </w:r>
      <w:r w:rsidRPr="0009774C">
        <w:rPr>
          <w:rFonts w:cs="Times New Roman"/>
        </w:rPr>
        <w:t xml:space="preserve"> конкурсный отбор, </w:t>
      </w:r>
      <w:r w:rsidR="00C76D96" w:rsidRPr="0009774C">
        <w:rPr>
          <w:rFonts w:cs="Times New Roman"/>
        </w:rPr>
        <w:t>договор банковского вклада (депозита)</w:t>
      </w:r>
      <w:r w:rsidR="004C6765" w:rsidRPr="0009774C">
        <w:rPr>
          <w:rFonts w:cs="Times New Roman"/>
        </w:rPr>
        <w:t xml:space="preserve"> по каждому выигравшему лоту</w:t>
      </w:r>
      <w:r w:rsidRPr="0009774C">
        <w:rPr>
          <w:rFonts w:cs="Times New Roman"/>
        </w:rPr>
        <w:t>.</w:t>
      </w:r>
    </w:p>
    <w:p w:rsidR="008F48F7" w:rsidRPr="0009774C" w:rsidRDefault="00F7019A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DA7963" w:rsidRPr="0009774C">
        <w:rPr>
          <w:rFonts w:cs="Times New Roman"/>
        </w:rPr>
        <w:t>.</w:t>
      </w:r>
      <w:r w:rsidR="009D47A3" w:rsidRPr="0009774C">
        <w:rPr>
          <w:rFonts w:cs="Times New Roman"/>
        </w:rPr>
        <w:t>40</w:t>
      </w:r>
      <w:r w:rsidR="00DA7963" w:rsidRPr="0009774C">
        <w:rPr>
          <w:rFonts w:cs="Times New Roman"/>
        </w:rPr>
        <w:t>. В</w:t>
      </w:r>
      <w:r w:rsidR="009D47A3" w:rsidRPr="0009774C">
        <w:rPr>
          <w:rFonts w:cs="Times New Roman"/>
        </w:rPr>
        <w:t xml:space="preserve"> течение </w:t>
      </w:r>
      <w:r w:rsidR="00FA69D3" w:rsidRPr="0009774C">
        <w:rPr>
          <w:rFonts w:cs="Times New Roman"/>
        </w:rPr>
        <w:t>10</w:t>
      </w:r>
      <w:r w:rsidR="009D47A3" w:rsidRPr="0009774C">
        <w:rPr>
          <w:rFonts w:cs="Times New Roman"/>
        </w:rPr>
        <w:t xml:space="preserve"> (</w:t>
      </w:r>
      <w:r w:rsidR="00FA69D3" w:rsidRPr="0009774C">
        <w:rPr>
          <w:rFonts w:cs="Times New Roman"/>
        </w:rPr>
        <w:t>Десяти</w:t>
      </w:r>
      <w:r w:rsidR="009D47A3" w:rsidRPr="0009774C">
        <w:rPr>
          <w:rFonts w:cs="Times New Roman"/>
        </w:rPr>
        <w:t>) рабочих дней после</w:t>
      </w:r>
      <w:r w:rsidR="00DA7963" w:rsidRPr="0009774C">
        <w:rPr>
          <w:rFonts w:cs="Times New Roman"/>
        </w:rPr>
        <w:t xml:space="preserve"> принятия </w:t>
      </w:r>
      <w:r w:rsidR="00BC119D" w:rsidRPr="0009774C">
        <w:rPr>
          <w:rFonts w:cs="Times New Roman"/>
        </w:rPr>
        <w:t>к</w:t>
      </w:r>
      <w:r w:rsidR="00DA7963" w:rsidRPr="0009774C">
        <w:rPr>
          <w:rFonts w:cs="Times New Roman"/>
        </w:rPr>
        <w:t>о</w:t>
      </w:r>
      <w:r w:rsidR="009D47A3" w:rsidRPr="0009774C">
        <w:rPr>
          <w:rFonts w:cs="Times New Roman"/>
        </w:rPr>
        <w:t>нкурсной комиссией</w:t>
      </w:r>
      <w:r w:rsidR="00DA7963" w:rsidRPr="0009774C">
        <w:rPr>
          <w:rFonts w:cs="Times New Roman"/>
        </w:rPr>
        <w:t xml:space="preserve"> Фонда решения о заключении либо об отказе в заключении</w:t>
      </w:r>
      <w:r w:rsidR="00401AAE" w:rsidRPr="0009774C">
        <w:rPr>
          <w:rFonts w:cs="Times New Roman"/>
        </w:rPr>
        <w:t xml:space="preserve"> договора банковского вклада (депозита)</w:t>
      </w:r>
      <w:r w:rsidR="00DA7963" w:rsidRPr="0009774C">
        <w:rPr>
          <w:rFonts w:cs="Times New Roman"/>
        </w:rPr>
        <w:t>, Фонд уведомляет</w:t>
      </w:r>
      <w:r w:rsidR="0002369B" w:rsidRPr="0009774C">
        <w:rPr>
          <w:rFonts w:cs="Times New Roman"/>
        </w:rPr>
        <w:t xml:space="preserve"> коммерческий</w:t>
      </w:r>
      <w:r w:rsidR="00DA7963"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банк</w:t>
      </w:r>
      <w:r w:rsidR="00DA7963" w:rsidRPr="0009774C">
        <w:rPr>
          <w:rFonts w:cs="Times New Roman"/>
        </w:rPr>
        <w:t xml:space="preserve"> о принятом решении.</w:t>
      </w:r>
    </w:p>
    <w:p w:rsidR="00776B48" w:rsidRPr="0009774C" w:rsidRDefault="00776B48" w:rsidP="00DA796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</w:t>
      </w:r>
      <w:r w:rsidR="006B36A6" w:rsidRPr="0009774C">
        <w:rPr>
          <w:rFonts w:cs="Times New Roman"/>
        </w:rPr>
        <w:t>41</w:t>
      </w:r>
      <w:r w:rsidRPr="0009774C">
        <w:rPr>
          <w:rFonts w:cs="Times New Roman"/>
        </w:rPr>
        <w:t xml:space="preserve">. </w:t>
      </w:r>
      <w:r w:rsidR="006B36A6" w:rsidRPr="0009774C">
        <w:rPr>
          <w:rFonts w:cs="Times New Roman"/>
        </w:rPr>
        <w:t>Л</w:t>
      </w:r>
      <w:r w:rsidRPr="0009774C">
        <w:rPr>
          <w:rFonts w:cs="Times New Roman"/>
        </w:rPr>
        <w:t>имит</w:t>
      </w:r>
      <w:r w:rsidR="008C123B" w:rsidRPr="0009774C">
        <w:rPr>
          <w:rFonts w:cs="Times New Roman"/>
        </w:rPr>
        <w:t xml:space="preserve"> размещения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>на конкретный</w:t>
      </w:r>
      <w:r w:rsidR="0002369B" w:rsidRPr="0009774C">
        <w:rPr>
          <w:rFonts w:cs="Times New Roman"/>
        </w:rPr>
        <w:t xml:space="preserve"> коммерческий</w:t>
      </w:r>
      <w:r w:rsidRPr="0009774C">
        <w:rPr>
          <w:rFonts w:cs="Times New Roman"/>
        </w:rPr>
        <w:t xml:space="preserve"> </w:t>
      </w:r>
      <w:r w:rsidR="008C123B" w:rsidRPr="0009774C">
        <w:rPr>
          <w:rFonts w:cs="Times New Roman"/>
        </w:rPr>
        <w:t xml:space="preserve">банк </w:t>
      </w:r>
      <w:r w:rsidRPr="0009774C">
        <w:rPr>
          <w:rFonts w:cs="Times New Roman"/>
        </w:rPr>
        <w:t>у</w:t>
      </w:r>
      <w:r w:rsidR="00B2221A" w:rsidRPr="0009774C">
        <w:rPr>
          <w:rFonts w:cs="Times New Roman"/>
        </w:rPr>
        <w:t>тверждается Директором</w:t>
      </w:r>
      <w:r w:rsidRPr="0009774C">
        <w:rPr>
          <w:rFonts w:cs="Times New Roman"/>
        </w:rPr>
        <w:t xml:space="preserve"> Фонда в соответствие с</w:t>
      </w:r>
      <w:r w:rsidR="008C123B" w:rsidRPr="0009774C">
        <w:rPr>
          <w:rFonts w:cs="Times New Roman"/>
        </w:rPr>
        <w:t xml:space="preserve"> требованиями настоящего порядка и иными</w:t>
      </w:r>
      <w:r w:rsidRPr="0009774C">
        <w:rPr>
          <w:rFonts w:cs="Times New Roman"/>
        </w:rPr>
        <w:t xml:space="preserve"> внутренними нормативными документами Фонда.</w:t>
      </w:r>
    </w:p>
    <w:p w:rsidR="00776B48" w:rsidRPr="0009774C" w:rsidRDefault="006B36A6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776B48" w:rsidRPr="0009774C">
        <w:rPr>
          <w:rFonts w:cs="Times New Roman"/>
        </w:rPr>
        <w:t>.</w:t>
      </w:r>
      <w:r w:rsidRPr="0009774C">
        <w:rPr>
          <w:rFonts w:cs="Times New Roman"/>
        </w:rPr>
        <w:t>42</w:t>
      </w:r>
      <w:r w:rsidR="00776B48" w:rsidRPr="0009774C">
        <w:rPr>
          <w:rFonts w:cs="Times New Roman"/>
        </w:rPr>
        <w:t xml:space="preserve">. </w:t>
      </w:r>
      <w:r w:rsidR="00096BC2" w:rsidRPr="0009774C">
        <w:rPr>
          <w:rFonts w:cs="Times New Roman"/>
        </w:rPr>
        <w:t>Конкурс</w:t>
      </w:r>
      <w:r w:rsidR="00776B48" w:rsidRPr="0009774C">
        <w:rPr>
          <w:rFonts w:cs="Times New Roman"/>
        </w:rPr>
        <w:t xml:space="preserve"> считается несостоявшимся в следующих случаях:</w:t>
      </w:r>
    </w:p>
    <w:p w:rsidR="00776B48" w:rsidRPr="0009774C" w:rsidRDefault="00776B48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- ни од</w:t>
      </w:r>
      <w:r w:rsidR="00714B43" w:rsidRPr="0009774C">
        <w:rPr>
          <w:rFonts w:cs="Times New Roman"/>
        </w:rPr>
        <w:t>и</w:t>
      </w:r>
      <w:r w:rsidRPr="0009774C">
        <w:rPr>
          <w:rFonts w:cs="Times New Roman"/>
        </w:rPr>
        <w:t>н</w:t>
      </w:r>
      <w:r w:rsidR="00714B43" w:rsidRPr="0009774C">
        <w:rPr>
          <w:rFonts w:cs="Times New Roman"/>
        </w:rPr>
        <w:t xml:space="preserve"> из</w:t>
      </w:r>
      <w:r w:rsidR="0002369B" w:rsidRPr="0009774C">
        <w:rPr>
          <w:rFonts w:cs="Times New Roman"/>
        </w:rPr>
        <w:t xml:space="preserve"> коммерческих</w:t>
      </w:r>
      <w:r w:rsidR="00714B43" w:rsidRPr="0009774C">
        <w:rPr>
          <w:rFonts w:cs="Times New Roman"/>
        </w:rPr>
        <w:t xml:space="preserve"> банков</w:t>
      </w:r>
      <w:r w:rsidRPr="0009774C">
        <w:rPr>
          <w:rFonts w:cs="Times New Roman"/>
        </w:rPr>
        <w:t xml:space="preserve">, представивших документы для участия в </w:t>
      </w:r>
      <w:r w:rsidR="009E7E41" w:rsidRPr="0009774C">
        <w:rPr>
          <w:rFonts w:cs="Times New Roman"/>
        </w:rPr>
        <w:t>конкурсе</w:t>
      </w:r>
      <w:r w:rsidRPr="0009774C">
        <w:rPr>
          <w:rFonts w:cs="Times New Roman"/>
        </w:rPr>
        <w:t xml:space="preserve">, не был допущен к участию в </w:t>
      </w:r>
      <w:r w:rsidR="00096BC2" w:rsidRPr="0009774C">
        <w:rPr>
          <w:rFonts w:cs="Times New Roman"/>
        </w:rPr>
        <w:t>конкурсе</w:t>
      </w:r>
      <w:r w:rsidRPr="0009774C">
        <w:rPr>
          <w:rFonts w:cs="Times New Roman"/>
        </w:rPr>
        <w:t>.</w:t>
      </w:r>
    </w:p>
    <w:p w:rsidR="00DC76DB" w:rsidRPr="0009774C" w:rsidRDefault="00C21414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09774C" w:rsidRDefault="006B36A6" w:rsidP="00776B48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</w:t>
      </w:r>
      <w:r w:rsidR="00776B48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4</w:t>
      </w:r>
      <w:r w:rsidR="00776B48" w:rsidRPr="0009774C">
        <w:rPr>
          <w:rFonts w:cs="Times New Roman"/>
        </w:rPr>
        <w:t xml:space="preserve">. В случае признания </w:t>
      </w:r>
      <w:r w:rsidR="00096BC2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несостоявшимся</w:t>
      </w:r>
      <w:r w:rsidR="00C21414" w:rsidRPr="0009774C">
        <w:rPr>
          <w:rFonts w:cs="Times New Roman"/>
        </w:rPr>
        <w:t xml:space="preserve"> по причине, когда ни один из</w:t>
      </w:r>
      <w:r w:rsidR="0002369B" w:rsidRPr="0009774C">
        <w:rPr>
          <w:rFonts w:cs="Times New Roman"/>
        </w:rPr>
        <w:t xml:space="preserve"> коммерческих</w:t>
      </w:r>
      <w:r w:rsidR="00C21414" w:rsidRPr="0009774C">
        <w:rPr>
          <w:rFonts w:cs="Times New Roman"/>
        </w:rPr>
        <w:t xml:space="preserve"> банков, представивших документы для участия в </w:t>
      </w:r>
      <w:r w:rsidR="00096BC2" w:rsidRPr="0009774C">
        <w:rPr>
          <w:rFonts w:cs="Times New Roman"/>
        </w:rPr>
        <w:t>к</w:t>
      </w:r>
      <w:r w:rsidR="00C21414" w:rsidRPr="0009774C">
        <w:rPr>
          <w:rFonts w:cs="Times New Roman"/>
        </w:rPr>
        <w:t>о</w:t>
      </w:r>
      <w:r w:rsidR="00096BC2" w:rsidRPr="0009774C">
        <w:rPr>
          <w:rFonts w:cs="Times New Roman"/>
        </w:rPr>
        <w:t>нкурсе</w:t>
      </w:r>
      <w:r w:rsidR="00C21414" w:rsidRPr="0009774C">
        <w:rPr>
          <w:rFonts w:cs="Times New Roman"/>
        </w:rPr>
        <w:t xml:space="preserve">, не был допущен к участию в </w:t>
      </w:r>
      <w:r w:rsidR="009E7E41" w:rsidRPr="0009774C">
        <w:rPr>
          <w:rFonts w:cs="Times New Roman"/>
        </w:rPr>
        <w:t>конкурсе</w:t>
      </w:r>
      <w:r w:rsidR="00C21414" w:rsidRPr="0009774C">
        <w:rPr>
          <w:rFonts w:cs="Times New Roman"/>
        </w:rPr>
        <w:t>,</w:t>
      </w:r>
      <w:r w:rsidR="00A95E17" w:rsidRPr="0009774C">
        <w:rPr>
          <w:rFonts w:cs="Times New Roman"/>
        </w:rPr>
        <w:t xml:space="preserve"> или не было подано ни одной заявки,</w:t>
      </w:r>
      <w:r w:rsidR="00776B48" w:rsidRPr="0009774C">
        <w:rPr>
          <w:rFonts w:cs="Times New Roman"/>
        </w:rPr>
        <w:t xml:space="preserve"> </w:t>
      </w:r>
      <w:r w:rsidRPr="0009774C">
        <w:rPr>
          <w:rFonts w:cs="Times New Roman"/>
        </w:rPr>
        <w:t>Ф</w:t>
      </w:r>
      <w:r w:rsidR="00776B48" w:rsidRPr="0009774C">
        <w:rPr>
          <w:rFonts w:cs="Times New Roman"/>
        </w:rPr>
        <w:t xml:space="preserve">онд инициирует проведение повторного </w:t>
      </w:r>
      <w:r w:rsidR="009E7E41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в срок не позднее чем через 10 (</w:t>
      </w:r>
      <w:r w:rsidR="00D016B1" w:rsidRPr="0009774C">
        <w:rPr>
          <w:rFonts w:cs="Times New Roman"/>
        </w:rPr>
        <w:t>Д</w:t>
      </w:r>
      <w:r w:rsidR="00776B48" w:rsidRPr="0009774C">
        <w:rPr>
          <w:rFonts w:cs="Times New Roman"/>
        </w:rPr>
        <w:t>есять)</w:t>
      </w:r>
      <w:r w:rsidR="007C53C7" w:rsidRPr="0009774C">
        <w:rPr>
          <w:rFonts w:cs="Times New Roman"/>
        </w:rPr>
        <w:t xml:space="preserve"> календарных</w:t>
      </w:r>
      <w:r w:rsidR="00776B48" w:rsidRPr="0009774C">
        <w:rPr>
          <w:rFonts w:cs="Times New Roman"/>
        </w:rPr>
        <w:t xml:space="preserve"> дней с момента признания </w:t>
      </w:r>
      <w:r w:rsidR="009E7E41" w:rsidRPr="0009774C">
        <w:rPr>
          <w:rFonts w:cs="Times New Roman"/>
        </w:rPr>
        <w:t>конкурса</w:t>
      </w:r>
      <w:r w:rsidR="00776B48" w:rsidRPr="0009774C">
        <w:rPr>
          <w:rFonts w:cs="Times New Roman"/>
        </w:rPr>
        <w:t xml:space="preserve"> несостоявшимся.</w:t>
      </w:r>
    </w:p>
    <w:p w:rsidR="004F190C" w:rsidRPr="0009774C" w:rsidRDefault="00B82880" w:rsidP="004F190C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2.45</w:t>
      </w:r>
      <w:r w:rsidR="004F190C" w:rsidRPr="0009774C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09774C">
        <w:rPr>
          <w:rFonts w:cs="Times New Roman"/>
        </w:rPr>
        <w:t>10</w:t>
      </w:r>
      <w:r w:rsidR="004F190C" w:rsidRPr="0009774C">
        <w:rPr>
          <w:rFonts w:cs="Times New Roman"/>
        </w:rPr>
        <w:t xml:space="preserve"> (</w:t>
      </w:r>
      <w:r w:rsidR="00FA69D3" w:rsidRPr="0009774C">
        <w:rPr>
          <w:rFonts w:cs="Times New Roman"/>
        </w:rPr>
        <w:t>Десяти</w:t>
      </w:r>
      <w:r w:rsidR="004F190C" w:rsidRPr="0009774C">
        <w:rPr>
          <w:rFonts w:cs="Times New Roman"/>
        </w:rPr>
        <w:t>) рабочих дней с даты получения</w:t>
      </w:r>
      <w:r w:rsidR="0002369B" w:rsidRPr="0009774C">
        <w:rPr>
          <w:rFonts w:cs="Times New Roman"/>
        </w:rPr>
        <w:t xml:space="preserve"> коммерческим</w:t>
      </w:r>
      <w:r w:rsidR="004F190C" w:rsidRPr="0009774C">
        <w:rPr>
          <w:rFonts w:cs="Times New Roman"/>
        </w:rPr>
        <w:t xml:space="preserve"> банком сообщения, указанного в пункте </w:t>
      </w:r>
      <w:r w:rsidR="00FA69D3" w:rsidRPr="0009774C">
        <w:rPr>
          <w:rFonts w:cs="Times New Roman"/>
        </w:rPr>
        <w:t>2</w:t>
      </w:r>
      <w:r w:rsidR="004F190C" w:rsidRPr="0009774C">
        <w:rPr>
          <w:rFonts w:cs="Times New Roman"/>
        </w:rPr>
        <w:t>.</w:t>
      </w:r>
      <w:r w:rsidR="00FA69D3" w:rsidRPr="0009774C">
        <w:rPr>
          <w:rFonts w:cs="Times New Roman"/>
        </w:rPr>
        <w:t>40</w:t>
      </w:r>
      <w:r w:rsidR="004F190C" w:rsidRPr="0009774C">
        <w:rPr>
          <w:rFonts w:cs="Times New Roman"/>
        </w:rPr>
        <w:t xml:space="preserve"> настоящего Порядка, отобранный </w:t>
      </w:r>
      <w:r w:rsidR="0002369B" w:rsidRPr="0009774C">
        <w:rPr>
          <w:rFonts w:cs="Times New Roman"/>
        </w:rPr>
        <w:t xml:space="preserve">коммерческий </w:t>
      </w:r>
      <w:r w:rsidR="004F190C" w:rsidRPr="0009774C">
        <w:rPr>
          <w:rFonts w:cs="Times New Roman"/>
        </w:rPr>
        <w:t xml:space="preserve">банк должен подписать и направить в </w:t>
      </w:r>
      <w:r w:rsidR="00FA69D3" w:rsidRPr="0009774C">
        <w:rPr>
          <w:rFonts w:cs="Times New Roman"/>
        </w:rPr>
        <w:t>Фонд</w:t>
      </w:r>
      <w:r w:rsidR="004F190C" w:rsidRPr="0009774C">
        <w:rPr>
          <w:rFonts w:cs="Times New Roman"/>
        </w:rPr>
        <w:t xml:space="preserve"> Договор банковского вклада (депозита). </w:t>
      </w:r>
    </w:p>
    <w:p w:rsidR="004F190C" w:rsidRPr="0009774C" w:rsidRDefault="00FA69D3" w:rsidP="004F190C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2</w:t>
      </w:r>
      <w:r w:rsidR="004F190C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6</w:t>
      </w:r>
      <w:r w:rsidR="004F190C" w:rsidRPr="0009774C">
        <w:rPr>
          <w:rFonts w:cs="Times New Roman"/>
        </w:rPr>
        <w:t>.  В случае, если отобранный</w:t>
      </w:r>
      <w:r w:rsidR="0002369B" w:rsidRPr="0009774C">
        <w:rPr>
          <w:rFonts w:cs="Times New Roman"/>
        </w:rPr>
        <w:t xml:space="preserve"> коммерческий</w:t>
      </w:r>
      <w:r w:rsidR="004F190C" w:rsidRPr="0009774C">
        <w:rPr>
          <w:rFonts w:cs="Times New Roman"/>
        </w:rPr>
        <w:t xml:space="preserve"> банк в срок, указанный в пункте </w:t>
      </w:r>
      <w:r w:rsidRPr="0009774C">
        <w:rPr>
          <w:rFonts w:cs="Times New Roman"/>
        </w:rPr>
        <w:t>2</w:t>
      </w:r>
      <w:r w:rsidR="004F190C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B82880" w:rsidRPr="0009774C">
        <w:rPr>
          <w:rFonts w:cs="Times New Roman"/>
        </w:rPr>
        <w:t>5</w:t>
      </w:r>
      <w:r w:rsidR="004F190C" w:rsidRPr="0009774C">
        <w:rPr>
          <w:rFonts w:cs="Times New Roman"/>
        </w:rPr>
        <w:t xml:space="preserve"> настоящего Порядка, не представил </w:t>
      </w:r>
      <w:r w:rsidRPr="0009774C">
        <w:rPr>
          <w:rFonts w:cs="Times New Roman"/>
        </w:rPr>
        <w:t>Фонду</w:t>
      </w:r>
      <w:r w:rsidR="004F190C" w:rsidRPr="0009774C">
        <w:rPr>
          <w:rFonts w:cs="Times New Roman"/>
        </w:rPr>
        <w:t xml:space="preserve"> подписанный Договор банковского вклада (депозита), отобранный</w:t>
      </w:r>
      <w:r w:rsidR="0002369B" w:rsidRPr="0009774C">
        <w:rPr>
          <w:rFonts w:cs="Times New Roman"/>
        </w:rPr>
        <w:t xml:space="preserve"> коммерческий</w:t>
      </w:r>
      <w:r w:rsidR="004F190C" w:rsidRPr="0009774C">
        <w:rPr>
          <w:rFonts w:cs="Times New Roman"/>
        </w:rPr>
        <w:t xml:space="preserve"> банк признается уклонившимся от заключения договора.</w:t>
      </w:r>
    </w:p>
    <w:p w:rsidR="00BC0D1B" w:rsidRPr="0009774C" w:rsidRDefault="00BC0D1B" w:rsidP="00BC0D1B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2.4</w:t>
      </w:r>
      <w:r w:rsidR="00B82880" w:rsidRPr="0009774C">
        <w:rPr>
          <w:rFonts w:cs="Times New Roman"/>
        </w:rPr>
        <w:t>7</w:t>
      </w:r>
      <w:r w:rsidRPr="0009774C">
        <w:rPr>
          <w:rFonts w:cs="Times New Roman"/>
        </w:rPr>
        <w:t>.</w:t>
      </w:r>
      <w:r w:rsidRPr="0009774C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09774C">
        <w:rPr>
          <w:rFonts w:cs="Times New Roman"/>
        </w:rPr>
        <w:t>договора банковского вклада</w:t>
      </w:r>
      <w:r w:rsidRPr="0009774C">
        <w:rPr>
          <w:rFonts w:cs="Times New Roman"/>
        </w:rPr>
        <w:t xml:space="preserve">, Фонд вправе обратиться в суд с иском о требовании о понуждении победителя конкурса заключить </w:t>
      </w:r>
      <w:r w:rsidR="00FA69D3" w:rsidRPr="0009774C">
        <w:rPr>
          <w:rFonts w:cs="Times New Roman"/>
        </w:rPr>
        <w:t>указанный договор</w:t>
      </w:r>
      <w:r w:rsidRPr="0009774C">
        <w:rPr>
          <w:rFonts w:cs="Times New Roman"/>
        </w:rPr>
        <w:t>, а также о возмещении убытков, причиненных уклонением от</w:t>
      </w:r>
      <w:r w:rsidR="00E20C02" w:rsidRPr="0009774C">
        <w:rPr>
          <w:rFonts w:cs="Times New Roman"/>
        </w:rPr>
        <w:t xml:space="preserve"> его</w:t>
      </w:r>
      <w:r w:rsidRPr="0009774C">
        <w:rPr>
          <w:rFonts w:cs="Times New Roman"/>
        </w:rPr>
        <w:t xml:space="preserve"> заключения.</w:t>
      </w:r>
    </w:p>
    <w:p w:rsidR="009E7E41" w:rsidRPr="0009774C" w:rsidRDefault="009E7E41" w:rsidP="00586D06">
      <w:pPr>
        <w:ind w:firstLine="567"/>
        <w:jc w:val="both"/>
        <w:rPr>
          <w:rFonts w:cs="Times New Roman"/>
        </w:rPr>
      </w:pPr>
    </w:p>
    <w:p w:rsidR="009E7E41" w:rsidRPr="0009774C" w:rsidRDefault="009E7E41" w:rsidP="00586D06">
      <w:pPr>
        <w:ind w:firstLine="567"/>
        <w:jc w:val="both"/>
        <w:rPr>
          <w:rFonts w:cs="Times New Roman"/>
        </w:rPr>
      </w:pPr>
    </w:p>
    <w:p w:rsidR="00E40E83" w:rsidRPr="0009774C" w:rsidRDefault="00C05915" w:rsidP="00E40E83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>3</w:t>
      </w:r>
      <w:r w:rsidR="009537C8" w:rsidRPr="0009774C">
        <w:rPr>
          <w:rFonts w:cs="Times New Roman"/>
        </w:rPr>
        <w:t xml:space="preserve">. </w:t>
      </w:r>
      <w:r w:rsidR="00E40E83" w:rsidRPr="0009774C">
        <w:rPr>
          <w:rFonts w:cs="Times New Roman"/>
        </w:rPr>
        <w:t>ТРЕБОВАНИЯ К</w:t>
      </w:r>
      <w:r w:rsidR="0002369B" w:rsidRPr="0009774C">
        <w:rPr>
          <w:rFonts w:cs="Times New Roman"/>
        </w:rPr>
        <w:t xml:space="preserve"> КОММЕРЧЕСКИМ</w:t>
      </w:r>
      <w:r w:rsidR="00E40E83" w:rsidRPr="0009774C">
        <w:rPr>
          <w:rFonts w:cs="Times New Roman"/>
        </w:rPr>
        <w:t xml:space="preserve"> </w:t>
      </w:r>
      <w:r w:rsidR="00714B43" w:rsidRPr="0009774C">
        <w:rPr>
          <w:rFonts w:cs="Times New Roman"/>
        </w:rPr>
        <w:t>БАНКАМ</w:t>
      </w:r>
    </w:p>
    <w:p w:rsidR="00F24834" w:rsidRPr="0009774C" w:rsidRDefault="00F24834" w:rsidP="00E40E83">
      <w:pPr>
        <w:ind w:firstLine="567"/>
        <w:jc w:val="center"/>
        <w:rPr>
          <w:rFonts w:cs="Times New Roman"/>
        </w:rPr>
      </w:pPr>
    </w:p>
    <w:p w:rsidR="007271AE" w:rsidRPr="0009774C" w:rsidRDefault="001D34A0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3.1.</w:t>
      </w:r>
      <w:r w:rsidR="007271AE" w:rsidRPr="0009774C">
        <w:t xml:space="preserve"> Фонд</w:t>
      </w:r>
      <w:r w:rsidR="007271AE" w:rsidRPr="0009774C">
        <w:rPr>
          <w:rFonts w:cs="Times New Roman"/>
        </w:rPr>
        <w:t xml:space="preserve"> в целях размещения временно свободных денежных средств на депозитах и расчетных счетах</w:t>
      </w:r>
      <w:r w:rsidR="0002369B" w:rsidRPr="0009774C">
        <w:rPr>
          <w:rFonts w:cs="Times New Roman"/>
        </w:rPr>
        <w:t xml:space="preserve"> в</w:t>
      </w:r>
      <w:r w:rsidR="007271AE" w:rsidRPr="0009774C">
        <w:rPr>
          <w:rFonts w:cs="Times New Roman"/>
        </w:rPr>
        <w:t xml:space="preserve"> </w:t>
      </w:r>
      <w:r w:rsidR="0002369B" w:rsidRPr="0009774C">
        <w:rPr>
          <w:rFonts w:cs="Times New Roman"/>
        </w:rPr>
        <w:t>коммерческих банках</w:t>
      </w:r>
      <w:r w:rsidR="007271AE" w:rsidRPr="0009774C">
        <w:rPr>
          <w:rFonts w:cs="Times New Roman"/>
        </w:rPr>
        <w:t xml:space="preserve"> проводит </w:t>
      </w:r>
      <w:r w:rsidR="009E7E41" w:rsidRPr="0009774C">
        <w:rPr>
          <w:rFonts w:cs="Times New Roman"/>
        </w:rPr>
        <w:t>конкурс по отбору</w:t>
      </w:r>
      <w:r w:rsidR="007271AE" w:rsidRPr="0009774C">
        <w:rPr>
          <w:rFonts w:cs="Times New Roman"/>
        </w:rPr>
        <w:t xml:space="preserve"> к</w:t>
      </w:r>
      <w:r w:rsidR="0002369B" w:rsidRPr="0009774C">
        <w:rPr>
          <w:rFonts w:cs="Times New Roman"/>
        </w:rPr>
        <w:t>оммерческих банков</w:t>
      </w:r>
      <w:r w:rsidR="007271AE" w:rsidRPr="0009774C">
        <w:rPr>
          <w:rFonts w:cs="Times New Roman"/>
        </w:rPr>
        <w:t xml:space="preserve"> при условии одновременного соблюдения следующих требований: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1) наличие у </w:t>
      </w:r>
      <w:r w:rsidR="0002369B" w:rsidRPr="0009774C">
        <w:rPr>
          <w:rFonts w:cs="Times New Roman"/>
        </w:rPr>
        <w:t>коммерческого банка</w:t>
      </w:r>
      <w:r w:rsidRPr="0009774C">
        <w:rPr>
          <w:rFonts w:cs="Times New Roman"/>
        </w:rPr>
        <w:t xml:space="preserve"> </w:t>
      </w:r>
      <w:r w:rsidR="009604D4" w:rsidRPr="0009774C">
        <w:rPr>
          <w:rFonts w:cs="Times New Roman"/>
        </w:rPr>
        <w:t>универсальной или базовой</w:t>
      </w:r>
      <w:r w:rsidRPr="0009774C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наличие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3)</w:t>
      </w:r>
      <w:r w:rsidR="00A95E17" w:rsidRPr="0009774C">
        <w:rPr>
          <w:rFonts w:cs="Times New Roman"/>
        </w:rPr>
        <w:t xml:space="preserve">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4) срок деятельности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с даты ее регистрации составляет не менее 5 (пяти) лет;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5) отсутствие действующей в отношении </w:t>
      </w:r>
      <w:r w:rsidR="0002369B" w:rsidRPr="0009774C">
        <w:rPr>
          <w:rFonts w:cs="Times New Roman"/>
        </w:rPr>
        <w:t>коммерческого банка</w:t>
      </w:r>
      <w:r w:rsidRPr="0009774C">
        <w:rPr>
          <w:rFonts w:cs="Times New Roma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6) отсутствие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в течение последних 12 (</w:t>
      </w:r>
      <w:r w:rsidR="00260B7B" w:rsidRPr="0009774C">
        <w:rPr>
          <w:rFonts w:cs="Times New Roman"/>
        </w:rPr>
        <w:t>Д</w:t>
      </w:r>
      <w:r w:rsidRPr="0009774C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 xml:space="preserve">просроченной задолженности по банковским депозитам, ранее размещенным в ней за счет средств </w:t>
      </w:r>
      <w:r w:rsidR="00C1657F" w:rsidRPr="0009774C">
        <w:rPr>
          <w:rFonts w:cs="Times New Roman"/>
        </w:rPr>
        <w:t>Фонда</w:t>
      </w:r>
      <w:r w:rsidRPr="0009774C">
        <w:rPr>
          <w:rFonts w:cs="Times New Roman"/>
        </w:rPr>
        <w:t>;</w:t>
      </w:r>
    </w:p>
    <w:p w:rsidR="001D34A0" w:rsidRPr="0009774C" w:rsidRDefault="007271AE" w:rsidP="007271AE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7) участие </w:t>
      </w:r>
      <w:r w:rsidR="0002369B" w:rsidRPr="0009774C">
        <w:rPr>
          <w:rFonts w:cs="Times New Roman"/>
        </w:rPr>
        <w:t xml:space="preserve">коммерческого банка </w:t>
      </w:r>
      <w:r w:rsidRPr="0009774C">
        <w:rPr>
          <w:rFonts w:cs="Times New Roman"/>
        </w:rPr>
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09774C" w:rsidRDefault="00584E86" w:rsidP="00584E86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3.2. </w:t>
      </w:r>
      <w:r w:rsidR="0002369B" w:rsidRPr="0009774C">
        <w:rPr>
          <w:rFonts w:cs="Times New Roman"/>
        </w:rPr>
        <w:t>Коммерческий банк</w:t>
      </w:r>
      <w:r w:rsidRPr="0009774C">
        <w:rPr>
          <w:rFonts w:cs="Times New Roman"/>
        </w:rPr>
        <w:t xml:space="preserve">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09774C">
        <w:rPr>
          <w:rFonts w:cs="Times New Roman"/>
        </w:rPr>
        <w:t>О</w:t>
      </w:r>
      <w:r w:rsidRPr="0009774C">
        <w:rPr>
          <w:rFonts w:cs="Times New Roman"/>
        </w:rPr>
        <w:t>дного) рабочего дня с даты введения соответствующих санкций.</w:t>
      </w:r>
    </w:p>
    <w:p w:rsidR="001D34A0" w:rsidRPr="0009774C" w:rsidRDefault="001D34A0" w:rsidP="001D34A0">
      <w:pPr>
        <w:ind w:firstLine="567"/>
        <w:jc w:val="both"/>
        <w:rPr>
          <w:rFonts w:cs="Times New Roman"/>
        </w:rPr>
      </w:pPr>
    </w:p>
    <w:p w:rsidR="002324E3" w:rsidRPr="0009774C" w:rsidRDefault="002324E3" w:rsidP="002324E3">
      <w:pPr>
        <w:ind w:firstLine="567"/>
        <w:jc w:val="center"/>
        <w:rPr>
          <w:rFonts w:cs="Times New Roman"/>
        </w:rPr>
      </w:pPr>
      <w:r w:rsidRPr="0009774C">
        <w:rPr>
          <w:rFonts w:cs="Times New Roman"/>
        </w:rPr>
        <w:t xml:space="preserve">4. </w:t>
      </w:r>
      <w:r w:rsidR="00B72898" w:rsidRPr="0009774C">
        <w:rPr>
          <w:rFonts w:cs="Times New Roman"/>
        </w:rPr>
        <w:t xml:space="preserve">ТРЕБОВАНИЯ К </w:t>
      </w:r>
      <w:r w:rsidR="00714B43" w:rsidRPr="0009774C">
        <w:rPr>
          <w:rFonts w:cs="Times New Roman"/>
        </w:rPr>
        <w:t>РАЗМЕЩЕНИ</w:t>
      </w:r>
      <w:r w:rsidR="00B72898" w:rsidRPr="0009774C">
        <w:rPr>
          <w:rFonts w:cs="Times New Roman"/>
        </w:rPr>
        <w:t>Ю</w:t>
      </w:r>
      <w:r w:rsidR="00714B43" w:rsidRPr="0009774C">
        <w:rPr>
          <w:rFonts w:cs="Times New Roman"/>
        </w:rPr>
        <w:t xml:space="preserve"> СРЕДСТВ</w:t>
      </w:r>
      <w:r w:rsidRPr="0009774C">
        <w:rPr>
          <w:rFonts w:cs="Times New Roman"/>
        </w:rPr>
        <w:t xml:space="preserve"> </w:t>
      </w:r>
    </w:p>
    <w:p w:rsidR="00E40E83" w:rsidRPr="0009774C" w:rsidRDefault="00E40E83" w:rsidP="00E40E83">
      <w:pPr>
        <w:ind w:firstLine="567"/>
        <w:jc w:val="both"/>
        <w:rPr>
          <w:rFonts w:cs="Times New Roman"/>
        </w:rPr>
      </w:pPr>
    </w:p>
    <w:p w:rsidR="007B5305" w:rsidRPr="0009774C" w:rsidRDefault="00714B43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B5305" w:rsidRPr="0009774C">
        <w:rPr>
          <w:rFonts w:cs="Times New Roman"/>
        </w:rPr>
        <w:t>.1. Фонд осуществляет инвестирование и (или) размещение временно свободных денежных средств в:</w:t>
      </w:r>
    </w:p>
    <w:p w:rsidR="007B5305" w:rsidRPr="0009774C" w:rsidRDefault="007B5305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государственные ценные бумаги Российской Федерации;</w:t>
      </w:r>
    </w:p>
    <w:p w:rsidR="007B5305" w:rsidRPr="0009774C" w:rsidRDefault="007B5305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2) депозиты и (или) расчетные счета в </w:t>
      </w:r>
      <w:r w:rsidR="0002369B" w:rsidRPr="0009774C">
        <w:rPr>
          <w:rFonts w:cs="Times New Roman"/>
        </w:rPr>
        <w:t>коммерческих банках</w:t>
      </w:r>
      <w:r w:rsidRPr="0009774C">
        <w:rPr>
          <w:rFonts w:cs="Times New Roman"/>
        </w:rPr>
        <w:t xml:space="preserve">, номинированные в валюте Российской Федерации денежные средства в рублях на счетах в </w:t>
      </w:r>
      <w:r w:rsidR="0002369B" w:rsidRPr="0009774C">
        <w:rPr>
          <w:rFonts w:cs="Times New Roman"/>
        </w:rPr>
        <w:t>коммерческих банках</w:t>
      </w:r>
      <w:r w:rsidRPr="0009774C">
        <w:rPr>
          <w:rFonts w:cs="Times New Roman"/>
        </w:rPr>
        <w:t>.</w:t>
      </w:r>
    </w:p>
    <w:p w:rsidR="007B5305" w:rsidRPr="0009774C" w:rsidRDefault="00714B43" w:rsidP="007B5305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B5305" w:rsidRPr="0009774C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09774C">
        <w:rPr>
          <w:rFonts w:cs="Times New Roman"/>
        </w:rPr>
        <w:t>30</w:t>
      </w:r>
      <w:r w:rsidR="007B5305" w:rsidRPr="0009774C">
        <w:rPr>
          <w:rFonts w:cs="Times New Roman"/>
        </w:rPr>
        <w:t>% от общего размера денежных средств.</w:t>
      </w:r>
    </w:p>
    <w:p w:rsidR="00714B43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4.3. </w:t>
      </w:r>
      <w:r w:rsidR="00714B43" w:rsidRPr="0009774C">
        <w:rPr>
          <w:rFonts w:cs="Times New Roman"/>
        </w:rPr>
        <w:t xml:space="preserve">С целью управления ликвидностью и платежеспособностью </w:t>
      </w:r>
      <w:r w:rsidRPr="0009774C">
        <w:rPr>
          <w:rFonts w:cs="Times New Roman"/>
        </w:rPr>
        <w:t>Фонд</w:t>
      </w:r>
      <w:r w:rsidR="00714B43" w:rsidRPr="0009774C">
        <w:rPr>
          <w:rFonts w:cs="Times New Roman"/>
        </w:rPr>
        <w:t xml:space="preserve"> размеща</w:t>
      </w:r>
      <w:r w:rsidRPr="0009774C">
        <w:rPr>
          <w:rFonts w:cs="Times New Roman"/>
        </w:rPr>
        <w:t>е</w:t>
      </w:r>
      <w:r w:rsidR="00714B43" w:rsidRPr="0009774C">
        <w:rPr>
          <w:rFonts w:cs="Times New Roman"/>
        </w:rPr>
        <w:t xml:space="preserve">т денежные средства на депозитах </w:t>
      </w:r>
      <w:r w:rsidR="0002369B" w:rsidRPr="0009774C">
        <w:rPr>
          <w:rFonts w:cs="Times New Roman"/>
        </w:rPr>
        <w:t xml:space="preserve">коммерческих </w:t>
      </w:r>
      <w:r w:rsidRPr="0009774C">
        <w:rPr>
          <w:rFonts w:cs="Times New Roman"/>
        </w:rPr>
        <w:t>банков</w:t>
      </w:r>
      <w:r w:rsidR="00714B43" w:rsidRPr="0009774C">
        <w:rPr>
          <w:rFonts w:cs="Times New Roman"/>
        </w:rPr>
        <w:t xml:space="preserve"> на срок не более 1 (одного) года.</w:t>
      </w:r>
    </w:p>
    <w:p w:rsidR="00823837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4</w:t>
      </w:r>
      <w:r w:rsidR="00714B43" w:rsidRPr="0009774C">
        <w:rPr>
          <w:rFonts w:cs="Times New Roman"/>
        </w:rPr>
        <w:t>.</w:t>
      </w:r>
      <w:r w:rsidRPr="0009774C">
        <w:rPr>
          <w:rFonts w:cs="Times New Roman"/>
        </w:rPr>
        <w:t>4</w:t>
      </w:r>
      <w:r w:rsidR="00714B43" w:rsidRPr="0009774C">
        <w:rPr>
          <w:rFonts w:cs="Times New Roman"/>
        </w:rPr>
        <w:t>. Максимальный размер денежных средств, размещенных на расчетных счетах и депозитах в одно</w:t>
      </w:r>
      <w:r w:rsidRPr="0009774C">
        <w:rPr>
          <w:rFonts w:cs="Times New Roman"/>
        </w:rPr>
        <w:t xml:space="preserve">м </w:t>
      </w:r>
      <w:r w:rsidR="0002369B" w:rsidRPr="0009774C">
        <w:rPr>
          <w:rFonts w:cs="Times New Roman"/>
        </w:rPr>
        <w:t xml:space="preserve">коммерческом </w:t>
      </w:r>
      <w:r w:rsidRPr="0009774C">
        <w:rPr>
          <w:rFonts w:cs="Times New Roman"/>
        </w:rPr>
        <w:t>банке</w:t>
      </w:r>
      <w:r w:rsidR="00714B43" w:rsidRPr="0009774C">
        <w:rPr>
          <w:rFonts w:cs="Times New Roman"/>
        </w:rPr>
        <w:t xml:space="preserve"> у</w:t>
      </w:r>
      <w:r w:rsidR="00B2221A" w:rsidRPr="0009774C">
        <w:rPr>
          <w:rFonts w:cs="Times New Roman"/>
        </w:rPr>
        <w:t>тверждается</w:t>
      </w:r>
      <w:r w:rsidR="00714B43" w:rsidRPr="0009774C">
        <w:rPr>
          <w:rFonts w:cs="Times New Roman"/>
        </w:rPr>
        <w:t xml:space="preserve"> </w:t>
      </w:r>
      <w:r w:rsidR="00B2221A" w:rsidRPr="0009774C">
        <w:rPr>
          <w:rFonts w:cs="Times New Roman"/>
        </w:rPr>
        <w:t>Директором</w:t>
      </w:r>
      <w:r w:rsidRPr="0009774C">
        <w:rPr>
          <w:rFonts w:cs="Times New Roman"/>
        </w:rPr>
        <w:t xml:space="preserve"> Фонда </w:t>
      </w:r>
      <w:r w:rsidR="00714B43" w:rsidRPr="0009774C">
        <w:rPr>
          <w:rFonts w:cs="Times New Roman"/>
        </w:rPr>
        <w:t>на 1 (первое) число текущего финансового года и, не должен превышать</w:t>
      </w:r>
      <w:r w:rsidR="00823837" w:rsidRPr="0009774C">
        <w:rPr>
          <w:rFonts w:cs="Times New Roman"/>
        </w:rPr>
        <w:t>:</w:t>
      </w:r>
    </w:p>
    <w:p w:rsidR="00823837" w:rsidRPr="0009774C" w:rsidRDefault="00823837" w:rsidP="0082383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1) 30% от общего размера денежных средств при размере гарантийного капитала более 700 млн. рублей;</w:t>
      </w:r>
    </w:p>
    <w:p w:rsidR="00823837" w:rsidRPr="0009774C" w:rsidRDefault="00823837" w:rsidP="00823837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2) 40% от общего размера денежных средств при размере гарантийного капитала более 300 млн. рублей и менее 700 млн. рублей;</w:t>
      </w:r>
    </w:p>
    <w:p w:rsidR="00A95E17" w:rsidRPr="0009774C" w:rsidRDefault="00823837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3) </w:t>
      </w:r>
      <w:r w:rsidR="00714B43" w:rsidRPr="0009774C">
        <w:rPr>
          <w:rFonts w:cs="Times New Roman"/>
        </w:rPr>
        <w:t xml:space="preserve">60% от общего размера денежных средств </w:t>
      </w:r>
      <w:r w:rsidR="002045A6" w:rsidRPr="0009774C">
        <w:rPr>
          <w:rFonts w:cs="Times New Roman"/>
        </w:rPr>
        <w:t>Фонда</w:t>
      </w:r>
      <w:r w:rsidR="00714B43" w:rsidRPr="0009774C">
        <w:rPr>
          <w:rFonts w:cs="Times New Roman"/>
        </w:rPr>
        <w:t xml:space="preserve"> </w:t>
      </w:r>
      <w:r w:rsidR="002045A6" w:rsidRPr="0009774C">
        <w:rPr>
          <w:rFonts w:cs="Times New Roman"/>
        </w:rPr>
        <w:t xml:space="preserve">при размере </w:t>
      </w:r>
      <w:r w:rsidR="00714B43" w:rsidRPr="0009774C">
        <w:rPr>
          <w:rFonts w:cs="Times New Roman"/>
        </w:rPr>
        <w:t>гарантийн</w:t>
      </w:r>
      <w:r w:rsidR="002045A6" w:rsidRPr="0009774C">
        <w:rPr>
          <w:rFonts w:cs="Times New Roman"/>
        </w:rPr>
        <w:t>ого</w:t>
      </w:r>
      <w:r w:rsidR="00714B43" w:rsidRPr="0009774C">
        <w:rPr>
          <w:rFonts w:cs="Times New Roman"/>
        </w:rPr>
        <w:t xml:space="preserve"> капитал</w:t>
      </w:r>
      <w:r w:rsidR="002045A6" w:rsidRPr="0009774C">
        <w:rPr>
          <w:rFonts w:cs="Times New Roman"/>
        </w:rPr>
        <w:t>а</w:t>
      </w:r>
      <w:r w:rsidR="00714B43" w:rsidRPr="0009774C">
        <w:rPr>
          <w:rFonts w:cs="Times New Roman"/>
        </w:rPr>
        <w:t xml:space="preserve"> менее 300 млн. рублей</w:t>
      </w:r>
      <w:r w:rsidR="00A95E17" w:rsidRPr="0009774C">
        <w:rPr>
          <w:rFonts w:cs="Times New Roman"/>
        </w:rPr>
        <w:t>.</w:t>
      </w:r>
    </w:p>
    <w:p w:rsidR="00714B43" w:rsidRPr="0009774C" w:rsidRDefault="00841171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Фонд</w:t>
      </w:r>
      <w:r w:rsidR="00A95E17" w:rsidRPr="0009774C">
        <w:rPr>
          <w:rFonts w:cs="Times New Roman"/>
        </w:rPr>
        <w:t xml:space="preserve"> вправе размещать на расчетных счетах кредитных организаций, соответствующих требованиям, установленным </w:t>
      </w:r>
      <w:r w:rsidR="000374E3" w:rsidRPr="0009774C">
        <w:rPr>
          <w:rFonts w:cs="Times New Roman"/>
        </w:rPr>
        <w:t>п. 2.3 и разделу 3</w:t>
      </w:r>
      <w:r w:rsidR="00A95E17" w:rsidRPr="0009774C">
        <w:rPr>
          <w:rFonts w:cs="Times New Roman"/>
        </w:rPr>
        <w:t xml:space="preserve"> настоящ</w:t>
      </w:r>
      <w:r w:rsidR="000374E3" w:rsidRPr="0009774C">
        <w:rPr>
          <w:rFonts w:cs="Times New Roman"/>
        </w:rPr>
        <w:t>его</w:t>
      </w:r>
      <w:r w:rsidR="00A95E17" w:rsidRPr="0009774C">
        <w:rPr>
          <w:rFonts w:cs="Times New Roman"/>
        </w:rPr>
        <w:t xml:space="preserve"> </w:t>
      </w:r>
      <w:r w:rsidR="000374E3" w:rsidRPr="0009774C">
        <w:rPr>
          <w:rFonts w:cs="Times New Roman"/>
        </w:rPr>
        <w:t>Порядка</w:t>
      </w:r>
      <w:r w:rsidR="00A95E17" w:rsidRPr="0009774C">
        <w:rPr>
          <w:rFonts w:cs="Times New Roman"/>
        </w:rPr>
        <w:t>, не более 10% от общего размера денежных средств.</w:t>
      </w:r>
    </w:p>
    <w:p w:rsidR="00CA237C" w:rsidRPr="0009774C" w:rsidRDefault="00742B5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4.5. </w:t>
      </w:r>
      <w:r w:rsidR="00CA237C" w:rsidRPr="0009774C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</w:t>
      </w:r>
      <w:r w:rsidR="0077719A" w:rsidRPr="0009774C">
        <w:rPr>
          <w:rFonts w:cs="Times New Roman"/>
        </w:rPr>
        <w:t>м коммерческом банке</w:t>
      </w:r>
      <w:r w:rsidR="00CA237C" w:rsidRPr="0009774C">
        <w:rPr>
          <w:rFonts w:cs="Times New Roman"/>
        </w:rPr>
        <w:t xml:space="preserve">, утверждается </w:t>
      </w:r>
      <w:r w:rsidR="00B2221A" w:rsidRPr="0009774C">
        <w:rPr>
          <w:rFonts w:cs="Times New Roman"/>
        </w:rPr>
        <w:t>Директором</w:t>
      </w:r>
      <w:r w:rsidR="00CA237C" w:rsidRPr="0009774C">
        <w:rPr>
          <w:rFonts w:cs="Times New Roman"/>
        </w:rPr>
        <w:t xml:space="preserve"> Фонда по итогам решени</w:t>
      </w:r>
      <w:r w:rsidRPr="0009774C">
        <w:rPr>
          <w:rFonts w:cs="Times New Roman"/>
        </w:rPr>
        <w:t>я первого заседания</w:t>
      </w:r>
      <w:r w:rsidR="00CA237C" w:rsidRPr="0009774C">
        <w:rPr>
          <w:rFonts w:cs="Times New Roman"/>
        </w:rPr>
        <w:t xml:space="preserve"> Конкурсной комиссии</w:t>
      </w:r>
      <w:r w:rsidRPr="0009774C">
        <w:rPr>
          <w:rFonts w:cs="Times New Roman"/>
        </w:rPr>
        <w:t>, где были определены победители,</w:t>
      </w:r>
      <w:r w:rsidR="00CA237C" w:rsidRPr="0009774C">
        <w:rPr>
          <w:rFonts w:cs="Times New Roman"/>
        </w:rPr>
        <w:t xml:space="preserve"> </w:t>
      </w:r>
      <w:r w:rsidR="00CB357B" w:rsidRPr="0009774C">
        <w:rPr>
          <w:rFonts w:cs="Times New Roman"/>
        </w:rPr>
        <w:t>в течение 5</w:t>
      </w:r>
      <w:r w:rsidR="000809FE" w:rsidRPr="0009774C">
        <w:rPr>
          <w:rFonts w:cs="Times New Roman"/>
        </w:rPr>
        <w:t xml:space="preserve"> (Пяти)</w:t>
      </w:r>
      <w:r w:rsidR="00CB357B" w:rsidRPr="0009774C">
        <w:rPr>
          <w:rFonts w:cs="Times New Roman"/>
        </w:rPr>
        <w:t xml:space="preserve"> рабочих дней после даты указанного заседания, </w:t>
      </w:r>
      <w:r w:rsidR="00CA237C" w:rsidRPr="0009774C">
        <w:rPr>
          <w:rFonts w:cs="Times New Roman"/>
        </w:rPr>
        <w:t>с учетом требований законодательства РФ и настоящего Порядка.</w:t>
      </w:r>
    </w:p>
    <w:p w:rsidR="007B5305" w:rsidRPr="0009774C" w:rsidRDefault="002045A6" w:rsidP="00714B43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</w:t>
      </w:r>
      <w:r w:rsidR="00714B43" w:rsidRPr="0009774C">
        <w:rPr>
          <w:rFonts w:cs="Times New Roman"/>
        </w:rPr>
        <w:t>.</w:t>
      </w:r>
      <w:r w:rsidR="00742B56" w:rsidRPr="0009774C">
        <w:rPr>
          <w:rFonts w:cs="Times New Roman"/>
        </w:rPr>
        <w:t>6</w:t>
      </w:r>
      <w:r w:rsidR="00714B43" w:rsidRPr="0009774C">
        <w:rPr>
          <w:rFonts w:cs="Times New Roman"/>
        </w:rPr>
        <w:t>. Пересчет максимального размера денежных средств, размещенных на расчетных счетах и депозитах в одно</w:t>
      </w:r>
      <w:r w:rsidR="00384CBD" w:rsidRPr="0009774C">
        <w:rPr>
          <w:rFonts w:cs="Times New Roman"/>
        </w:rPr>
        <w:t>м коммерческом банке</w:t>
      </w:r>
      <w:r w:rsidR="00714B43" w:rsidRPr="0009774C">
        <w:rPr>
          <w:rFonts w:cs="Times New Roman"/>
        </w:rPr>
        <w:t>, осуществляется при изменени</w:t>
      </w:r>
      <w:r w:rsidR="000374E3" w:rsidRPr="0009774C">
        <w:rPr>
          <w:rFonts w:cs="Times New Roman"/>
        </w:rPr>
        <w:t>и размера гарантийного капитала Фонда и утверждается директором Фонда.</w:t>
      </w:r>
    </w:p>
    <w:p w:rsidR="00CB7F25" w:rsidRPr="0009774C" w:rsidRDefault="00650F28" w:rsidP="00833551">
      <w:pPr>
        <w:ind w:firstLine="567"/>
        <w:jc w:val="both"/>
        <w:rPr>
          <w:rFonts w:cs="Times New Roman"/>
        </w:rPr>
      </w:pPr>
      <w:r w:rsidRPr="0009774C">
        <w:rPr>
          <w:rFonts w:cs="Times New Roman"/>
        </w:rPr>
        <w:t>4.</w:t>
      </w:r>
      <w:r w:rsidR="00B82880" w:rsidRPr="0009774C">
        <w:rPr>
          <w:rFonts w:cs="Times New Roman"/>
        </w:rPr>
        <w:t>7</w:t>
      </w:r>
      <w:r w:rsidRPr="0009774C">
        <w:rPr>
          <w:rFonts w:cs="Times New Roman"/>
        </w:rPr>
        <w:t xml:space="preserve">. </w:t>
      </w:r>
      <w:r w:rsidR="00D721D9" w:rsidRPr="0009774C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09774C">
        <w:rPr>
          <w:rFonts w:cs="Times New Roman"/>
        </w:rPr>
        <w:t>.</w:t>
      </w:r>
    </w:p>
    <w:p w:rsidR="00816D2E" w:rsidRPr="0009774C" w:rsidRDefault="00816D2E" w:rsidP="00833551">
      <w:pPr>
        <w:ind w:firstLine="567"/>
        <w:jc w:val="both"/>
        <w:rPr>
          <w:rFonts w:cs="Times New Roman"/>
        </w:rPr>
      </w:pPr>
      <w:r w:rsidRPr="0009774C">
        <w:t>4.8. Фонд вправе инвестировать и (или) размещать временно свободные денежные средства с использованием финансовых бирж.</w:t>
      </w: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CB7F25" w:rsidRPr="0009774C" w:rsidRDefault="00CB7F25" w:rsidP="00833551">
      <w:pPr>
        <w:ind w:firstLine="567"/>
        <w:jc w:val="both"/>
        <w:rPr>
          <w:rFonts w:cs="Times New Roman"/>
        </w:rPr>
      </w:pPr>
    </w:p>
    <w:p w:rsidR="0014177C" w:rsidRPr="0009774C" w:rsidRDefault="0014177C" w:rsidP="00833551">
      <w:pPr>
        <w:ind w:firstLine="567"/>
        <w:jc w:val="both"/>
        <w:rPr>
          <w:rFonts w:cs="Times New Roman"/>
        </w:rPr>
      </w:pPr>
    </w:p>
    <w:p w:rsidR="0014177C" w:rsidRPr="0009774C" w:rsidRDefault="0014177C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82880" w:rsidRPr="0009774C" w:rsidRDefault="00B82880" w:rsidP="00833551">
      <w:pPr>
        <w:ind w:firstLine="567"/>
        <w:jc w:val="both"/>
        <w:rPr>
          <w:rFonts w:cs="Times New Roman"/>
        </w:rPr>
      </w:pPr>
    </w:p>
    <w:p w:rsidR="00BD33D7" w:rsidRPr="0009774C" w:rsidRDefault="00BD33D7" w:rsidP="00DC1159">
      <w:pPr>
        <w:rPr>
          <w:rFonts w:cs="Times New Roman"/>
          <w:i/>
          <w:sz w:val="20"/>
          <w:szCs w:val="20"/>
        </w:rPr>
      </w:pPr>
      <w:bookmarkStart w:id="0" w:name="_GoBack"/>
      <w:bookmarkEnd w:id="0"/>
    </w:p>
    <w:sectPr w:rsidR="00BD33D7" w:rsidRPr="0009774C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F2" w:rsidRDefault="00E369F2" w:rsidP="00256377">
      <w:r>
        <w:separator/>
      </w:r>
    </w:p>
  </w:endnote>
  <w:endnote w:type="continuationSeparator" w:id="0">
    <w:p w:rsidR="00E369F2" w:rsidRDefault="00E369F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1171" w:rsidRPr="00A84081" w:rsidRDefault="0084117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DC1159">
          <w:rPr>
            <w:noProof/>
            <w:sz w:val="18"/>
            <w:szCs w:val="18"/>
          </w:rPr>
          <w:t>5</w:t>
        </w:r>
        <w:r w:rsidRPr="00A84081">
          <w:rPr>
            <w:sz w:val="18"/>
            <w:szCs w:val="18"/>
          </w:rPr>
          <w:fldChar w:fldCharType="end"/>
        </w:r>
      </w:p>
    </w:sdtContent>
  </w:sdt>
  <w:p w:rsidR="00841171" w:rsidRDefault="008411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F2" w:rsidRDefault="00E369F2" w:rsidP="00256377">
      <w:r>
        <w:separator/>
      </w:r>
    </w:p>
  </w:footnote>
  <w:footnote w:type="continuationSeparator" w:id="0">
    <w:p w:rsidR="00E369F2" w:rsidRDefault="00E369F2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212D5"/>
    <w:rsid w:val="0002369B"/>
    <w:rsid w:val="000258B8"/>
    <w:rsid w:val="00025EE1"/>
    <w:rsid w:val="0002627C"/>
    <w:rsid w:val="0003414D"/>
    <w:rsid w:val="000374E3"/>
    <w:rsid w:val="00037ADA"/>
    <w:rsid w:val="0004532A"/>
    <w:rsid w:val="00045BEF"/>
    <w:rsid w:val="00051B86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9774C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1AB1"/>
    <w:rsid w:val="001E4396"/>
    <w:rsid w:val="001F2622"/>
    <w:rsid w:val="002045A6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82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84CBD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01C9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7719A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16D2E"/>
    <w:rsid w:val="00823837"/>
    <w:rsid w:val="008265A3"/>
    <w:rsid w:val="00833551"/>
    <w:rsid w:val="00836FE6"/>
    <w:rsid w:val="00841171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1CA0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16A5D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3900"/>
    <w:rsid w:val="00A84081"/>
    <w:rsid w:val="00A934FF"/>
    <w:rsid w:val="00A95B07"/>
    <w:rsid w:val="00A95E1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94814"/>
    <w:rsid w:val="00BB3541"/>
    <w:rsid w:val="00BC0D1B"/>
    <w:rsid w:val="00BC119D"/>
    <w:rsid w:val="00BD332F"/>
    <w:rsid w:val="00BD33D7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0599"/>
    <w:rsid w:val="00C920F1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3EF0"/>
    <w:rsid w:val="00DB7C8F"/>
    <w:rsid w:val="00DC1159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369F2"/>
    <w:rsid w:val="00E40AA1"/>
    <w:rsid w:val="00E40E83"/>
    <w:rsid w:val="00E56BF4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E5A0E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C9D"/>
  <w15:docId w15:val="{8AFD5D6D-B421-4347-A1A1-7099512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CDC9-7136-4F90-AF17-1AB21412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Ключко Олеся Александрова</cp:lastModifiedBy>
  <cp:revision>3</cp:revision>
  <cp:lastPrinted>2021-01-17T01:56:00Z</cp:lastPrinted>
  <dcterms:created xsi:type="dcterms:W3CDTF">2022-04-14T22:32:00Z</dcterms:created>
  <dcterms:modified xsi:type="dcterms:W3CDTF">2022-04-14T22:34:00Z</dcterms:modified>
</cp:coreProperties>
</file>