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4B5481" w14:paraId="144E39FF" w14:textId="77777777" w:rsidTr="0037373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C940" w14:textId="77777777" w:rsidR="008979D4" w:rsidRPr="004B5481" w:rsidRDefault="008979D4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4DA" w14:textId="6C7CDDAD" w:rsidR="008979D4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Приложение №</w:t>
            </w:r>
            <w:r w:rsidR="00382282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8</w:t>
            </w:r>
          </w:p>
          <w:p w14:paraId="34BEBC65" w14:textId="6C0D1D36" w:rsidR="00373736" w:rsidRPr="004B5481" w:rsidRDefault="008979D4" w:rsidP="00373736">
            <w:pPr>
              <w:spacing w:after="0" w:line="240" w:lineRule="auto"/>
              <w:jc w:val="right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к Правилам предоставления</w:t>
            </w:r>
            <w:r w:rsidR="00382282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 xml:space="preserve"> иных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 xml:space="preserve"> займов</w:t>
            </w:r>
          </w:p>
        </w:tc>
      </w:tr>
      <w:tr w:rsidR="000C6C30" w:rsidRPr="004B5481" w14:paraId="0CA21EEC" w14:textId="77777777" w:rsidTr="00373736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2C" w14:textId="7D1FB82D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Вид 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8DE" w14:textId="22E83E2F" w:rsidR="000C6C30" w:rsidRPr="004B5481" w:rsidRDefault="004214EF" w:rsidP="00373736">
            <w:pPr>
              <w:spacing w:after="0" w:line="240" w:lineRule="auto"/>
              <w:jc w:val="center"/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«</w:t>
            </w:r>
            <w:r w:rsidR="00E23523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ПЕРСПЕКТИВА</w:t>
            </w:r>
            <w:r w:rsidRPr="004B5481">
              <w:rPr>
                <w:rFonts w:ascii="Roboto" w:eastAsia="Times New Roman" w:hAnsi="Roboto" w:cs="Tahoma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4B5481" w14:paraId="0B54FF91" w14:textId="77777777" w:rsidTr="00373736">
        <w:trPr>
          <w:trHeight w:val="7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90825" w14:textId="77777777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Категория </w:t>
            </w:r>
            <w:r w:rsidR="000C6C30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Заемщик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0A4710" w14:textId="4A1B4A95" w:rsidR="004637E2" w:rsidRPr="004B5481" w:rsidRDefault="00B662C4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Индивидуальный предприниматель или юридическое лицо – субъекты малого и среднего предпринимательства, </w:t>
            </w:r>
            <w:r w:rsidR="009A01EA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у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довлетворяющие 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критериям в соответствии с Правилами предоставления</w:t>
            </w:r>
            <w:r w:rsidR="00382282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иных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займов</w:t>
            </w:r>
            <w:r w:rsidR="005D461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136EAF6E" w14:textId="77777777" w:rsidTr="00373736">
        <w:trPr>
          <w:trHeight w:val="73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DD0D7B" w14:textId="6CDB1D8F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Цел</w:t>
            </w:r>
            <w:r w:rsidR="00C34A1B"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евое назначение</w:t>
            </w: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 xml:space="preserve"> 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2AF8ADB" w14:textId="6F7711CE" w:rsidR="00177DCD" w:rsidRPr="004B5481" w:rsidRDefault="001812C4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>
              <w:rPr>
                <w:rFonts w:ascii="Roboto" w:eastAsia="Times New Roman" w:hAnsi="Roboto" w:cs="Tahoma"/>
                <w:color w:val="000000"/>
                <w:lang w:eastAsia="ru-RU"/>
              </w:rPr>
              <w:t>Приобретение производственного оборудования</w:t>
            </w:r>
            <w:r w:rsidR="00FF1AD8">
              <w:rPr>
                <w:rFonts w:ascii="Roboto" w:eastAsia="Times New Roman" w:hAnsi="Roboto" w:cs="Tahoma"/>
                <w:color w:val="000000"/>
                <w:lang w:eastAsia="ru-RU"/>
              </w:rPr>
              <w:t>*</w:t>
            </w:r>
            <w:r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или специализированной техники</w:t>
            </w:r>
            <w:r w:rsidR="00FF1AD8">
              <w:rPr>
                <w:rFonts w:ascii="Roboto" w:eastAsia="Times New Roman" w:hAnsi="Roboto" w:cs="Tahoma"/>
                <w:color w:val="000000"/>
                <w:lang w:eastAsia="ru-RU"/>
              </w:rPr>
              <w:t>**</w:t>
            </w:r>
            <w:r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26DD8560" w14:textId="77777777" w:rsidTr="00373736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4CC776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8CABB2" w14:textId="3AB0C9AC" w:rsidR="000C6C30" w:rsidRPr="004B5481" w:rsidRDefault="00737A77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диновременный за</w:t>
            </w:r>
            <w:r w:rsidR="00382282">
              <w:rPr>
                <w:rFonts w:ascii="Roboto" w:eastAsia="Times New Roman" w:hAnsi="Roboto" w:cs="Tahoma"/>
                <w:color w:val="000000"/>
                <w:lang w:eastAsia="ru-RU"/>
              </w:rPr>
              <w:t>й</w:t>
            </w:r>
            <w:r w:rsidR="004637E2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м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33A39D7D" w14:textId="725DEEA1" w:rsidR="004637E2" w:rsidRPr="004B5481" w:rsidRDefault="004637E2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</w:p>
        </w:tc>
      </w:tr>
      <w:tr w:rsidR="00B20009" w:rsidRPr="004B5481" w14:paraId="63EB4F88" w14:textId="77777777" w:rsidTr="00373736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1B5279DC" w14:textId="15C5F569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Способ предоставления 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619B96C" w14:textId="6868CCA7" w:rsidR="00B20009" w:rsidRPr="004B5481" w:rsidRDefault="00382282" w:rsidP="00373736">
            <w:pPr>
              <w:spacing w:after="0" w:line="240" w:lineRule="auto"/>
              <w:jc w:val="both"/>
              <w:rPr>
                <w:rFonts w:ascii="Roboto" w:eastAsia="Times New Roman" w:hAnsi="Roboto" w:cs="Tahoma"/>
                <w:color w:val="000000"/>
                <w:lang w:eastAsia="ru-RU"/>
              </w:rPr>
            </w:pPr>
            <w:r>
              <w:rPr>
                <w:rFonts w:ascii="Roboto" w:eastAsia="Times New Roman" w:hAnsi="Roboto" w:cs="Tahoma"/>
                <w:color w:val="000000"/>
                <w:lang w:eastAsia="ru-RU"/>
              </w:rPr>
              <w:t>З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айм предоставляется Заемщику в безналичной форме путем перечисления суммы займа на банковский счет Заемщика.</w:t>
            </w:r>
          </w:p>
        </w:tc>
      </w:tr>
      <w:tr w:rsidR="00B20009" w:rsidRPr="004B5481" w14:paraId="20624938" w14:textId="77777777" w:rsidTr="00373736">
        <w:trPr>
          <w:trHeight w:val="291"/>
        </w:trPr>
        <w:tc>
          <w:tcPr>
            <w:tcW w:w="2694" w:type="dxa"/>
            <w:shd w:val="clear" w:color="auto" w:fill="auto"/>
            <w:noWrap/>
            <w:vAlign w:val="center"/>
          </w:tcPr>
          <w:p w14:paraId="5556F271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9FB152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4B5481" w14:paraId="79FD6C29" w14:textId="77777777" w:rsidTr="00373736">
        <w:trPr>
          <w:trHeight w:val="4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9FA62F" w14:textId="3F4BAD91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B745CD" w14:textId="697787F6" w:rsidR="000C6C30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От 6 месяцев </w:t>
            </w:r>
            <w:r w:rsidR="000C6C3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до </w:t>
            </w:r>
            <w:r w:rsidR="00382282">
              <w:rPr>
                <w:rFonts w:ascii="Roboto" w:eastAsia="Times New Roman" w:hAnsi="Roboto" w:cs="Tahoma"/>
                <w:color w:val="000000"/>
                <w:lang w:eastAsia="ru-RU"/>
              </w:rPr>
              <w:t>72</w:t>
            </w:r>
            <w:r w:rsidR="000C6C3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месяцев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4716AB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2B64EC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CB674F" w14:textId="2AF84199" w:rsidR="0070628C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от </w:t>
            </w:r>
            <w:r w:rsidR="00E93EEC">
              <w:rPr>
                <w:rFonts w:ascii="Roboto" w:eastAsia="Times New Roman" w:hAnsi="Roboto" w:cs="Tahoma"/>
                <w:color w:val="000000"/>
                <w:lang w:eastAsia="ru-RU"/>
              </w:rPr>
              <w:t>1 0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 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000</w:t>
            </w:r>
            <w:r w:rsidR="00B2000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рублей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до </w:t>
            </w:r>
            <w:r w:rsidR="00382282">
              <w:rPr>
                <w:rFonts w:ascii="Roboto" w:eastAsia="Times New Roman" w:hAnsi="Roboto" w:cs="Tahoma"/>
                <w:color w:val="000000"/>
                <w:lang w:eastAsia="ru-RU"/>
              </w:rPr>
              <w:t>10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 000 000 рублей</w:t>
            </w:r>
            <w:r w:rsidR="004B55B8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1D1069" w:rsidRPr="004B5481" w14:paraId="06FCF77C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</w:tcPr>
          <w:p w14:paraId="2C1EB0B6" w14:textId="0170C489" w:rsidR="001D1069" w:rsidRPr="004B5481" w:rsidRDefault="001D106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Обязательное обеспечение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256665F" w14:textId="6EB45DAC" w:rsidR="00653F9B" w:rsidRPr="00653F9B" w:rsidRDefault="00653F9B" w:rsidP="00653F9B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Для юридических лиц:</w:t>
            </w:r>
          </w:p>
          <w:p w14:paraId="57A2386E" w14:textId="77C0DEDC" w:rsidR="00653F9B" w:rsidRPr="00653F9B" w:rsidRDefault="00653F9B" w:rsidP="00653F9B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- поручительство всех учредителей (участников) юридического лица</w:t>
            </w:r>
            <w:r>
              <w:rPr>
                <w:rFonts w:ascii="Roboto" w:eastAsia="Times New Roman" w:hAnsi="Roboto" w:cs="Tahoma"/>
                <w:color w:val="000000"/>
                <w:lang w:eastAsia="ru-RU"/>
              </w:rPr>
              <w:t>***</w:t>
            </w: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2BD6643D" w14:textId="44CF18C0" w:rsidR="00653F9B" w:rsidRPr="00653F9B" w:rsidRDefault="00653F9B" w:rsidP="00653F9B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Для индивидуальных предпринимателей:</w:t>
            </w:r>
          </w:p>
          <w:p w14:paraId="5AD037B3" w14:textId="77777777" w:rsidR="00653F9B" w:rsidRPr="00653F9B" w:rsidRDefault="00653F9B" w:rsidP="00653F9B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- залог недвижимого имущества (ипотека);</w:t>
            </w:r>
          </w:p>
          <w:p w14:paraId="306DFFD9" w14:textId="471A8A3F" w:rsidR="001D1069" w:rsidRPr="004B5481" w:rsidRDefault="00653F9B" w:rsidP="00653F9B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- поручительство супруга/супруги (при наличии)</w:t>
            </w:r>
            <w:r>
              <w:rPr>
                <w:rFonts w:ascii="Roboto" w:eastAsia="Times New Roman" w:hAnsi="Roboto" w:cs="Tahoma"/>
                <w:color w:val="000000"/>
                <w:lang w:eastAsia="ru-RU"/>
              </w:rPr>
              <w:t>***</w:t>
            </w:r>
            <w:r w:rsidRPr="00653F9B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D74F90" w:rsidRPr="004B5481" w14:paraId="28D6F182" w14:textId="77777777" w:rsidTr="00373736">
        <w:trPr>
          <w:trHeight w:val="1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36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B55" w14:textId="77777777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7472381D" w14:textId="101098A4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CDFA160" w14:textId="77777777" w:rsidR="005F4B71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5F4B71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,</w:t>
            </w:r>
          </w:p>
          <w:p w14:paraId="0A3ECEFF" w14:textId="77777777" w:rsidR="00D74F90" w:rsidRPr="004B5481" w:rsidRDefault="005F4B71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и (или) залог приобретаемого имущества</w:t>
            </w:r>
            <w:r w:rsidR="00D74F9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  <w:p w14:paraId="2697CE6D" w14:textId="3D3285B3" w:rsidR="00D74F90" w:rsidRPr="004B5481" w:rsidRDefault="00D74F90" w:rsidP="00373736">
            <w:pPr>
              <w:spacing w:after="0" w:line="240" w:lineRule="auto"/>
              <w:rPr>
                <w:rFonts w:ascii="Roboto" w:eastAsia="Times New Roman" w:hAnsi="Roboto" w:cs="Tahoma"/>
                <w:i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Сумма займа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не обеспеченная твердым</w:t>
            </w:r>
            <w:r w:rsidR="00FF1AD8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**</w:t>
            </w:r>
            <w:r w:rsidR="00653F9B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*</w:t>
            </w:r>
            <w:r w:rsidR="00373736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*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залогом</w:t>
            </w:r>
            <w:r w:rsidR="00B20009"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>,</w:t>
            </w:r>
            <w:r w:rsidRPr="004B5481">
              <w:rPr>
                <w:rFonts w:ascii="Roboto" w:eastAsia="Times New Roman" w:hAnsi="Roboto" w:cs="Tahoma"/>
                <w:i/>
                <w:color w:val="000000"/>
                <w:lang w:eastAsia="ru-RU"/>
              </w:rPr>
              <w:t xml:space="preserve"> </w:t>
            </w:r>
            <w:r w:rsidRPr="004B5481">
              <w:rPr>
                <w:rFonts w:ascii="Roboto" w:eastAsia="Times New Roman" w:hAnsi="Roboto" w:cs="Tahoma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4B5481" w14:paraId="0CE0C70C" w14:textId="77777777" w:rsidTr="00373736">
        <w:trPr>
          <w:trHeight w:val="127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CDC2" w14:textId="2A0AC5F2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Процентная ставка</w:t>
            </w:r>
          </w:p>
          <w:p w14:paraId="4F117AE5" w14:textId="77777777" w:rsidR="00B20009" w:rsidRPr="004B5481" w:rsidRDefault="00B20009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C48B8A7" w14:textId="20C38EC0" w:rsidR="000C6C30" w:rsidRPr="004B5481" w:rsidRDefault="00FD7D73" w:rsidP="00382282">
            <w:pPr>
              <w:spacing w:after="12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6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%</w:t>
            </w:r>
            <w:r w:rsidR="00297AE0"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годовых</w:t>
            </w:r>
            <w:r w:rsidR="00B65353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3FF7975E" w14:textId="77777777" w:rsidTr="00373736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0CBE3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DA839B" w14:textId="38C4D965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не более </w:t>
            </w:r>
            <w:r w:rsidR="00382282">
              <w:rPr>
                <w:rFonts w:ascii="Roboto" w:eastAsia="Times New Roman" w:hAnsi="Roboto" w:cs="Tahoma"/>
                <w:color w:val="000000"/>
                <w:lang w:eastAsia="ru-RU"/>
              </w:rPr>
              <w:t>36</w:t>
            </w: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 xml:space="preserve"> месяцев</w:t>
            </w:r>
            <w:r w:rsidR="00F85CF9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9335D1" w:rsidRPr="004B5481" w14:paraId="3145394F" w14:textId="77777777" w:rsidTr="00382282">
        <w:trPr>
          <w:trHeight w:val="1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49F" w14:textId="394FE0C3" w:rsidR="009335D1" w:rsidRPr="004B5481" w:rsidRDefault="009335D1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Порядок погашения 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F90" w14:textId="77777777" w:rsidR="00382282" w:rsidRDefault="00382282" w:rsidP="00382282">
            <w:pPr>
              <w:spacing w:after="0" w:line="240" w:lineRule="auto"/>
              <w:rPr>
                <w:rFonts w:ascii="Roboto" w:hAnsi="Roboto" w:cs="Tahoma"/>
              </w:rPr>
            </w:pPr>
            <w:r>
              <w:rPr>
                <w:rFonts w:ascii="Roboto" w:hAnsi="Roboto" w:cs="Tahoma"/>
              </w:rPr>
              <w:t>Ежемесячно.</w:t>
            </w:r>
          </w:p>
          <w:p w14:paraId="1F61C894" w14:textId="51890DC6" w:rsidR="00382282" w:rsidRPr="004B5481" w:rsidRDefault="00382282" w:rsidP="00382282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>
              <w:rPr>
                <w:rFonts w:ascii="Roboto" w:hAnsi="Roboto" w:cs="Tahoma"/>
              </w:rPr>
              <w:t>Индивидуальный график.</w:t>
            </w:r>
          </w:p>
          <w:p w14:paraId="05588DD1" w14:textId="7AE8D97B" w:rsidR="009335D1" w:rsidRPr="004B5481" w:rsidRDefault="009335D1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</w:p>
        </w:tc>
      </w:tr>
      <w:tr w:rsidR="000C6C30" w:rsidRPr="004B5481" w14:paraId="1B9E7CB3" w14:textId="77777777" w:rsidTr="00382282">
        <w:trPr>
          <w:trHeight w:val="83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B44FE2" w14:textId="45A3513B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Порядок погашения процентов по 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E79DD3" w14:textId="3CCAC8D4" w:rsidR="00737A77" w:rsidRPr="004B5481" w:rsidRDefault="00CC2EB8" w:rsidP="00382282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color w:val="000000"/>
                <w:lang w:eastAsia="ru-RU"/>
              </w:rPr>
              <w:t>Ежемесячно</w:t>
            </w:r>
            <w:r w:rsidR="00737A77" w:rsidRPr="004B5481">
              <w:rPr>
                <w:rFonts w:ascii="Roboto" w:eastAsia="Times New Roman" w:hAnsi="Roboto" w:cs="Tahoma"/>
                <w:color w:val="000000"/>
                <w:lang w:eastAsia="ru-RU"/>
              </w:rPr>
              <w:t>.</w:t>
            </w:r>
          </w:p>
        </w:tc>
      </w:tr>
      <w:tr w:rsidR="000C6C30" w:rsidRPr="004B5481" w14:paraId="05362617" w14:textId="77777777" w:rsidTr="00373736">
        <w:trPr>
          <w:trHeight w:val="5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2298B9" w14:textId="77777777" w:rsidR="000C6C30" w:rsidRPr="004B5481" w:rsidRDefault="000C6C30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49C5CE" w14:textId="77777777" w:rsidR="000C6C30" w:rsidRPr="004B5481" w:rsidRDefault="0070628C" w:rsidP="00373736">
            <w:pPr>
              <w:spacing w:after="0" w:line="240" w:lineRule="auto"/>
              <w:rPr>
                <w:rFonts w:ascii="Roboto" w:eastAsia="Times New Roman" w:hAnsi="Roboto" w:cs="Tahoma"/>
                <w:color w:val="000000"/>
                <w:lang w:eastAsia="ru-RU"/>
              </w:rPr>
            </w:pPr>
            <w:r w:rsidRPr="004B5481">
              <w:rPr>
                <w:rFonts w:ascii="Roboto" w:hAnsi="Roboto" w:cs="Tahoma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4B5481">
              <w:rPr>
                <w:rFonts w:ascii="Roboto" w:hAnsi="Roboto" w:cs="Tahoma"/>
              </w:rPr>
              <w:t>.</w:t>
            </w:r>
          </w:p>
        </w:tc>
      </w:tr>
      <w:tr w:rsidR="001A26DB" w:rsidRPr="004B5481" w14:paraId="10CA03AB" w14:textId="77777777" w:rsidTr="00373736">
        <w:trPr>
          <w:trHeight w:val="484"/>
        </w:trPr>
        <w:tc>
          <w:tcPr>
            <w:tcW w:w="2694" w:type="dxa"/>
            <w:shd w:val="clear" w:color="auto" w:fill="auto"/>
            <w:noWrap/>
            <w:vAlign w:val="center"/>
          </w:tcPr>
          <w:p w14:paraId="095FE0F4" w14:textId="77777777" w:rsidR="001A26DB" w:rsidRPr="004B5481" w:rsidRDefault="001A26DB" w:rsidP="00373736">
            <w:pPr>
              <w:spacing w:after="0" w:line="240" w:lineRule="auto"/>
              <w:rPr>
                <w:rFonts w:ascii="Roboto" w:eastAsia="Times New Roman" w:hAnsi="Roboto" w:cs="Tahoma"/>
                <w:b/>
                <w:color w:val="000000"/>
                <w:lang w:eastAsia="ru-RU"/>
              </w:rPr>
            </w:pPr>
            <w:r w:rsidRPr="004B5481">
              <w:rPr>
                <w:rFonts w:ascii="Roboto" w:eastAsia="Times New Roman" w:hAnsi="Roboto" w:cs="Tahoma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E45A4A4" w14:textId="69D2467B" w:rsidR="001A26DB" w:rsidRPr="004B5481" w:rsidRDefault="001A26DB" w:rsidP="00373736">
            <w:pPr>
              <w:spacing w:after="0" w:line="240" w:lineRule="auto"/>
              <w:rPr>
                <w:rFonts w:ascii="Roboto" w:hAnsi="Roboto" w:cs="Tahoma"/>
              </w:rPr>
            </w:pPr>
            <w:r w:rsidRPr="004B5481">
              <w:rPr>
                <w:rFonts w:ascii="Roboto" w:hAnsi="Roboto" w:cs="Tahoma"/>
              </w:rPr>
              <w:t xml:space="preserve">Предоставление </w:t>
            </w:r>
            <w:r w:rsidR="00D40077" w:rsidRPr="004B5481">
              <w:rPr>
                <w:rFonts w:ascii="Roboto" w:hAnsi="Roboto" w:cs="Tahoma"/>
              </w:rPr>
              <w:t>технико-экономического обоснования</w:t>
            </w:r>
            <w:r w:rsidR="004B55B8" w:rsidRPr="004B5481">
              <w:rPr>
                <w:rFonts w:ascii="Roboto" w:hAnsi="Roboto" w:cs="Tahoma"/>
              </w:rPr>
              <w:t xml:space="preserve"> и (</w:t>
            </w:r>
            <w:r w:rsidR="00101AB2" w:rsidRPr="004B5481">
              <w:rPr>
                <w:rFonts w:ascii="Roboto" w:hAnsi="Roboto" w:cs="Tahoma"/>
              </w:rPr>
              <w:t>или</w:t>
            </w:r>
            <w:r w:rsidR="004B55B8" w:rsidRPr="004B5481">
              <w:rPr>
                <w:rFonts w:ascii="Roboto" w:hAnsi="Roboto" w:cs="Tahoma"/>
              </w:rPr>
              <w:t>)</w:t>
            </w:r>
            <w:r w:rsidR="00101AB2" w:rsidRPr="004B5481">
              <w:rPr>
                <w:rFonts w:ascii="Roboto" w:hAnsi="Roboto" w:cs="Tahoma"/>
              </w:rPr>
              <w:t xml:space="preserve"> </w:t>
            </w:r>
            <w:r w:rsidRPr="004B5481">
              <w:rPr>
                <w:rFonts w:ascii="Roboto" w:hAnsi="Roboto" w:cs="Tahoma"/>
              </w:rPr>
              <w:t>бизнес-плана</w:t>
            </w:r>
            <w:r w:rsidR="00D40077" w:rsidRPr="004B5481">
              <w:rPr>
                <w:rFonts w:ascii="Roboto" w:hAnsi="Roboto" w:cs="Tahoma"/>
              </w:rPr>
              <w:t xml:space="preserve"> </w:t>
            </w:r>
            <w:r w:rsidR="00BB3CEB" w:rsidRPr="004B5481">
              <w:rPr>
                <w:rFonts w:ascii="Roboto" w:hAnsi="Roboto" w:cs="Tahoma"/>
              </w:rPr>
              <w:t>(при рассмотрении заявки на открытие нового направления деятельности).</w:t>
            </w:r>
          </w:p>
        </w:tc>
      </w:tr>
    </w:tbl>
    <w:p w14:paraId="3DA149A3" w14:textId="77777777" w:rsidR="00373736" w:rsidRPr="004B5481" w:rsidRDefault="00373736" w:rsidP="00373736">
      <w:pPr>
        <w:spacing w:after="0" w:line="240" w:lineRule="auto"/>
        <w:ind w:firstLine="708"/>
        <w:jc w:val="both"/>
        <w:rPr>
          <w:rFonts w:ascii="Roboto" w:hAnsi="Roboto" w:cs="Tahoma"/>
          <w:b/>
        </w:rPr>
      </w:pPr>
    </w:p>
    <w:p w14:paraId="7B1C9C00" w14:textId="29524364" w:rsidR="00FF1AD8" w:rsidRPr="001D1069" w:rsidRDefault="00FF1AD8" w:rsidP="00B662C4">
      <w:pPr>
        <w:spacing w:after="0" w:line="240" w:lineRule="auto"/>
        <w:ind w:left="-851" w:firstLine="567"/>
        <w:jc w:val="both"/>
        <w:rPr>
          <w:rFonts w:ascii="Roboto" w:hAnsi="Roboto" w:cs="Tahoma"/>
          <w:bCs/>
        </w:rPr>
      </w:pPr>
      <w:bookmarkStart w:id="0" w:name="_Hlk89081249"/>
      <w:r>
        <w:rPr>
          <w:rFonts w:ascii="Roboto" w:hAnsi="Roboto" w:cs="Tahoma"/>
          <w:b/>
        </w:rPr>
        <w:t>*</w:t>
      </w:r>
      <w:r w:rsidR="001D1069">
        <w:rPr>
          <w:rFonts w:ascii="Roboto" w:hAnsi="Roboto" w:cs="Tahoma"/>
          <w:b/>
        </w:rPr>
        <w:t xml:space="preserve">Производственное оборудование </w:t>
      </w:r>
      <w:r w:rsidR="001D1069" w:rsidRPr="001D1069">
        <w:rPr>
          <w:rFonts w:ascii="Roboto" w:hAnsi="Roboto" w:cs="Tahoma"/>
          <w:bCs/>
        </w:rPr>
        <w:t>— это совокупность устройств, машин</w:t>
      </w:r>
      <w:r w:rsidR="00E93EEC">
        <w:rPr>
          <w:rFonts w:ascii="Roboto" w:hAnsi="Roboto" w:cs="Tahoma"/>
          <w:bCs/>
        </w:rPr>
        <w:t xml:space="preserve"> (кроме транспортных средств)</w:t>
      </w:r>
      <w:r w:rsidR="001D1069" w:rsidRPr="001D1069">
        <w:rPr>
          <w:rFonts w:ascii="Roboto" w:hAnsi="Roboto" w:cs="Tahoma"/>
          <w:bCs/>
        </w:rPr>
        <w:t xml:space="preserve"> и инструментов, включая аппаратные и программные средства, приборы, оснастку, специальные системы и другие компоненты,</w:t>
      </w:r>
      <w:r w:rsidR="001D1069">
        <w:rPr>
          <w:rFonts w:ascii="Roboto" w:hAnsi="Roboto" w:cs="Tahoma"/>
          <w:bCs/>
        </w:rPr>
        <w:t xml:space="preserve"> </w:t>
      </w:r>
      <w:r w:rsidR="001D1069" w:rsidRPr="001D1069">
        <w:rPr>
          <w:rFonts w:ascii="Roboto" w:hAnsi="Roboto" w:cs="Tahoma"/>
          <w:bCs/>
        </w:rPr>
        <w:t>которые обеспечивают выполнение операций по изготовлению, обработке и сборке продукции</w:t>
      </w:r>
      <w:r w:rsidR="00E93EEC">
        <w:rPr>
          <w:rFonts w:ascii="Roboto" w:hAnsi="Roboto" w:cs="Tahoma"/>
          <w:bCs/>
        </w:rPr>
        <w:t xml:space="preserve"> в производстве, при оказании услуг или выполнении работ</w:t>
      </w:r>
      <w:r w:rsidR="001D1069">
        <w:rPr>
          <w:rFonts w:ascii="Roboto" w:hAnsi="Roboto" w:cs="Tahoma"/>
          <w:bCs/>
        </w:rPr>
        <w:t>.</w:t>
      </w:r>
    </w:p>
    <w:p w14:paraId="3BF30BDB" w14:textId="05A6DED1" w:rsidR="00FF1AD8" w:rsidRPr="001D1069" w:rsidRDefault="00FF1AD8" w:rsidP="001D1069">
      <w:pPr>
        <w:spacing w:after="0" w:line="240" w:lineRule="auto"/>
        <w:ind w:left="-851" w:firstLine="567"/>
        <w:jc w:val="both"/>
        <w:rPr>
          <w:rFonts w:ascii="Roboto" w:hAnsi="Roboto" w:cs="Tahoma"/>
          <w:bCs/>
        </w:rPr>
      </w:pPr>
      <w:r>
        <w:rPr>
          <w:rFonts w:ascii="Roboto" w:hAnsi="Roboto" w:cs="Tahoma"/>
          <w:b/>
        </w:rPr>
        <w:t>**</w:t>
      </w:r>
      <w:r w:rsidR="001D1069">
        <w:rPr>
          <w:rFonts w:ascii="Roboto" w:hAnsi="Roboto" w:cs="Tahoma"/>
          <w:b/>
        </w:rPr>
        <w:t xml:space="preserve">Специализированная техника </w:t>
      </w:r>
      <w:r w:rsidR="001D1069" w:rsidRPr="001D1069">
        <w:rPr>
          <w:rFonts w:ascii="Roboto" w:hAnsi="Roboto" w:cs="Tahoma"/>
          <w:bCs/>
        </w:rPr>
        <w:t>– это</w:t>
      </w:r>
      <w:r w:rsidR="001D1069" w:rsidRPr="001D1069">
        <w:t xml:space="preserve"> </w:t>
      </w:r>
      <w:r w:rsidR="001D1069" w:rsidRPr="001D1069">
        <w:rPr>
          <w:rFonts w:ascii="Roboto" w:hAnsi="Roboto" w:cs="Tahoma"/>
          <w:bCs/>
        </w:rPr>
        <w:t xml:space="preserve">транспортные средства, механизмы и устройства, которые </w:t>
      </w:r>
      <w:r w:rsidR="001D1069" w:rsidRPr="00AB3930">
        <w:rPr>
          <w:rFonts w:ascii="Roboto" w:hAnsi="Roboto" w:cs="Tahoma"/>
          <w:bCs/>
        </w:rPr>
        <w:t xml:space="preserve">созданы для выполнения </w:t>
      </w:r>
      <w:r w:rsidR="00E93EEC" w:rsidRPr="00AB3930">
        <w:rPr>
          <w:rFonts w:ascii="Roboto" w:hAnsi="Roboto" w:cs="Tahoma"/>
          <w:bCs/>
        </w:rPr>
        <w:t xml:space="preserve">производственных, технологических или коммунальных </w:t>
      </w:r>
      <w:r w:rsidR="00E93EEC" w:rsidRPr="00AB3930">
        <w:rPr>
          <w:rFonts w:ascii="Roboto" w:hAnsi="Roboto" w:cs="Tahoma"/>
          <w:bCs/>
        </w:rPr>
        <w:lastRenderedPageBreak/>
        <w:t>функций, обладающ</w:t>
      </w:r>
      <w:r w:rsidR="00BA69EA" w:rsidRPr="00AB3930">
        <w:rPr>
          <w:rFonts w:ascii="Roboto" w:hAnsi="Roboto" w:cs="Tahoma"/>
          <w:bCs/>
        </w:rPr>
        <w:t>ие</w:t>
      </w:r>
      <w:r w:rsidR="00E93EEC" w:rsidRPr="00AB3930">
        <w:rPr>
          <w:rFonts w:ascii="Roboto" w:hAnsi="Roboto" w:cs="Tahoma"/>
          <w:bCs/>
        </w:rPr>
        <w:t xml:space="preserve"> </w:t>
      </w:r>
      <w:r w:rsidR="00E93EEC">
        <w:rPr>
          <w:rFonts w:ascii="Roboto" w:hAnsi="Roboto" w:cs="Tahoma"/>
          <w:bCs/>
        </w:rPr>
        <w:t>особыми техническими характеристиками и оборудованием, обеспечивающи</w:t>
      </w:r>
      <w:r w:rsidR="00AB3930">
        <w:rPr>
          <w:rFonts w:ascii="Roboto" w:hAnsi="Roboto" w:cs="Tahoma"/>
          <w:bCs/>
        </w:rPr>
        <w:t>е</w:t>
      </w:r>
      <w:r w:rsidR="00E93EEC">
        <w:rPr>
          <w:rFonts w:ascii="Roboto" w:hAnsi="Roboto" w:cs="Tahoma"/>
          <w:bCs/>
        </w:rPr>
        <w:t xml:space="preserve"> выполнение профильных задач, </w:t>
      </w:r>
      <w:r w:rsidR="00A20882">
        <w:rPr>
          <w:rFonts w:ascii="Roboto" w:hAnsi="Roboto" w:cs="Tahoma"/>
          <w:bCs/>
        </w:rPr>
        <w:t>включая, но не ограничиваясь:</w:t>
      </w:r>
      <w:r w:rsidR="001D1069" w:rsidRPr="001D1069">
        <w:rPr>
          <w:rFonts w:ascii="Roboto" w:hAnsi="Roboto" w:cs="Tahoma"/>
          <w:bCs/>
        </w:rPr>
        <w:t xml:space="preserve"> </w:t>
      </w:r>
      <w:r w:rsidR="001D1069">
        <w:rPr>
          <w:rFonts w:ascii="Roboto" w:hAnsi="Roboto" w:cs="Tahoma"/>
          <w:bCs/>
        </w:rPr>
        <w:t>д</w:t>
      </w:r>
      <w:r w:rsidR="001D1069" w:rsidRPr="001D1069">
        <w:rPr>
          <w:rFonts w:ascii="Roboto" w:hAnsi="Roboto" w:cs="Tahoma"/>
          <w:bCs/>
        </w:rPr>
        <w:t>орожная</w:t>
      </w:r>
      <w:r w:rsidR="001D1069">
        <w:rPr>
          <w:rFonts w:ascii="Roboto" w:hAnsi="Roboto" w:cs="Tahoma"/>
          <w:bCs/>
        </w:rPr>
        <w:t xml:space="preserve"> (г</w:t>
      </w:r>
      <w:r w:rsidR="001D1069" w:rsidRPr="001D1069">
        <w:rPr>
          <w:rFonts w:ascii="Roboto" w:hAnsi="Roboto" w:cs="Tahoma"/>
          <w:bCs/>
        </w:rPr>
        <w:t>рейдеры, асфальтоукладчики, катки, разметочные машины</w:t>
      </w:r>
      <w:r w:rsidR="001D1069">
        <w:rPr>
          <w:rFonts w:ascii="Roboto" w:hAnsi="Roboto" w:cs="Tahoma"/>
          <w:bCs/>
        </w:rPr>
        <w:t>), с</w:t>
      </w:r>
      <w:r w:rsidR="001D1069" w:rsidRPr="001D1069">
        <w:rPr>
          <w:rFonts w:ascii="Roboto" w:hAnsi="Roboto" w:cs="Tahoma"/>
          <w:bCs/>
        </w:rPr>
        <w:t>троительная</w:t>
      </w:r>
      <w:r w:rsidR="00A20882">
        <w:rPr>
          <w:rFonts w:ascii="Roboto" w:hAnsi="Roboto" w:cs="Tahoma"/>
          <w:bCs/>
        </w:rPr>
        <w:t xml:space="preserve"> (б</w:t>
      </w:r>
      <w:r w:rsidR="001D1069" w:rsidRPr="001D1069">
        <w:rPr>
          <w:rFonts w:ascii="Roboto" w:hAnsi="Roboto" w:cs="Tahoma"/>
          <w:bCs/>
        </w:rPr>
        <w:t>ульдозеры, экскаваторы, трубоукладчики, машины для прокладки коммуникаций</w:t>
      </w:r>
      <w:r w:rsidR="00A20882">
        <w:rPr>
          <w:rFonts w:ascii="Roboto" w:hAnsi="Roboto" w:cs="Tahoma"/>
          <w:bCs/>
        </w:rPr>
        <w:t>), с</w:t>
      </w:r>
      <w:r w:rsidR="001D1069" w:rsidRPr="001D1069">
        <w:rPr>
          <w:rFonts w:ascii="Roboto" w:hAnsi="Roboto" w:cs="Tahoma"/>
          <w:bCs/>
        </w:rPr>
        <w:t>ельскохозяйственная</w:t>
      </w:r>
      <w:r w:rsidR="00A20882">
        <w:rPr>
          <w:rFonts w:ascii="Roboto" w:hAnsi="Roboto" w:cs="Tahoma"/>
          <w:bCs/>
        </w:rPr>
        <w:t xml:space="preserve"> (к</w:t>
      </w:r>
      <w:r w:rsidR="001D1069" w:rsidRPr="001D1069">
        <w:rPr>
          <w:rFonts w:ascii="Roboto" w:hAnsi="Roboto" w:cs="Tahoma"/>
          <w:bCs/>
        </w:rPr>
        <w:t xml:space="preserve">омбайны, сеялки, тракторы, опрыскиватели, жатки, </w:t>
      </w:r>
      <w:proofErr w:type="spellStart"/>
      <w:r w:rsidR="001D1069" w:rsidRPr="001D1069">
        <w:rPr>
          <w:rFonts w:ascii="Roboto" w:hAnsi="Roboto" w:cs="Tahoma"/>
          <w:bCs/>
        </w:rPr>
        <w:t>кормоуборщики</w:t>
      </w:r>
      <w:proofErr w:type="spellEnd"/>
      <w:r w:rsidR="00A20882">
        <w:rPr>
          <w:rFonts w:ascii="Roboto" w:hAnsi="Roboto" w:cs="Tahoma"/>
          <w:bCs/>
        </w:rPr>
        <w:t>), к</w:t>
      </w:r>
      <w:r w:rsidR="001D1069" w:rsidRPr="001D1069">
        <w:rPr>
          <w:rFonts w:ascii="Roboto" w:hAnsi="Roboto" w:cs="Tahoma"/>
          <w:bCs/>
        </w:rPr>
        <w:t>оммунальная</w:t>
      </w:r>
      <w:r w:rsidR="00A20882">
        <w:rPr>
          <w:rFonts w:ascii="Roboto" w:hAnsi="Roboto" w:cs="Tahoma"/>
          <w:bCs/>
        </w:rPr>
        <w:t xml:space="preserve"> (м</w:t>
      </w:r>
      <w:r w:rsidR="001D1069" w:rsidRPr="001D1069">
        <w:rPr>
          <w:rFonts w:ascii="Roboto" w:hAnsi="Roboto" w:cs="Tahoma"/>
          <w:bCs/>
        </w:rPr>
        <w:t>усоровозы, ассенизаторы, снегоуборщики, поливальные машины</w:t>
      </w:r>
      <w:r w:rsidR="00A20882">
        <w:rPr>
          <w:rFonts w:ascii="Roboto" w:hAnsi="Roboto" w:cs="Tahoma"/>
          <w:bCs/>
        </w:rPr>
        <w:t>), г</w:t>
      </w:r>
      <w:r w:rsidR="001D1069" w:rsidRPr="001D1069">
        <w:rPr>
          <w:rFonts w:ascii="Roboto" w:hAnsi="Roboto" w:cs="Tahoma"/>
          <w:bCs/>
        </w:rPr>
        <w:t>рузоподъёмная</w:t>
      </w:r>
      <w:r w:rsidR="00A20882">
        <w:rPr>
          <w:rFonts w:ascii="Roboto" w:hAnsi="Roboto" w:cs="Tahoma"/>
          <w:bCs/>
        </w:rPr>
        <w:t xml:space="preserve"> (в</w:t>
      </w:r>
      <w:r w:rsidR="001D1069" w:rsidRPr="001D1069">
        <w:rPr>
          <w:rFonts w:ascii="Roboto" w:hAnsi="Roboto" w:cs="Tahoma"/>
          <w:bCs/>
        </w:rPr>
        <w:t>се виды автомобильных и стационарных кранов, подъёмные площадки, автолифты, автовышки, манипуляторы, самоходные погрузчики</w:t>
      </w:r>
      <w:r w:rsidR="00A20882">
        <w:rPr>
          <w:rFonts w:ascii="Roboto" w:hAnsi="Roboto" w:cs="Tahoma"/>
          <w:bCs/>
        </w:rPr>
        <w:t>).</w:t>
      </w:r>
    </w:p>
    <w:p w14:paraId="246B9C6F" w14:textId="147C95CF" w:rsidR="00653F9B" w:rsidRPr="00653F9B" w:rsidRDefault="00653F9B" w:rsidP="00B662C4">
      <w:pPr>
        <w:spacing w:after="0" w:line="240" w:lineRule="auto"/>
        <w:ind w:left="-851" w:firstLine="567"/>
        <w:jc w:val="both"/>
        <w:rPr>
          <w:rFonts w:ascii="Roboto" w:hAnsi="Roboto" w:cs="Tahoma"/>
          <w:bCs/>
        </w:rPr>
      </w:pPr>
      <w:r>
        <w:rPr>
          <w:rFonts w:ascii="Roboto" w:hAnsi="Roboto" w:cs="Tahoma"/>
          <w:b/>
        </w:rPr>
        <w:t xml:space="preserve">*** Обязательное обеспечение </w:t>
      </w:r>
      <w:r w:rsidRPr="00653F9B">
        <w:rPr>
          <w:rFonts w:ascii="Roboto" w:hAnsi="Roboto" w:cs="Tahoma"/>
          <w:bCs/>
        </w:rPr>
        <w:t>– подробная информация отражена в п. 4.2 Правил.</w:t>
      </w:r>
    </w:p>
    <w:p w14:paraId="29DE4CEB" w14:textId="60367677" w:rsidR="00B662C4" w:rsidRPr="004B5481" w:rsidRDefault="00653F9B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  <w:r>
        <w:rPr>
          <w:rFonts w:ascii="Roboto" w:hAnsi="Roboto" w:cs="Tahoma"/>
          <w:b/>
        </w:rPr>
        <w:t>*</w:t>
      </w:r>
      <w:r w:rsidR="00B662C4" w:rsidRPr="004B5481">
        <w:rPr>
          <w:rFonts w:ascii="Roboto" w:hAnsi="Roboto" w:cs="Tahoma"/>
          <w:b/>
        </w:rPr>
        <w:t>*</w:t>
      </w:r>
      <w:r w:rsidR="00FF1AD8">
        <w:rPr>
          <w:rFonts w:ascii="Roboto" w:hAnsi="Roboto" w:cs="Tahoma"/>
          <w:b/>
        </w:rPr>
        <w:t>**</w:t>
      </w:r>
      <w:r w:rsidR="00B662C4" w:rsidRPr="004B5481">
        <w:rPr>
          <w:rFonts w:ascii="Roboto" w:hAnsi="Roboto" w:cs="Tahoma"/>
          <w:b/>
        </w:rPr>
        <w:t>Твердый залог</w:t>
      </w:r>
      <w:r w:rsidR="00B662C4" w:rsidRPr="004B5481">
        <w:rPr>
          <w:rFonts w:ascii="Roboto" w:hAnsi="Roboto" w:cs="Tahoma"/>
        </w:rPr>
        <w:t xml:space="preserve"> - </w:t>
      </w:r>
      <w:bookmarkStart w:id="1" w:name="_Hlk89077162"/>
      <w:r w:rsidR="00B662C4" w:rsidRPr="004B5481">
        <w:rPr>
          <w:rFonts w:ascii="Roboto" w:hAnsi="Roboto" w:cs="Tahoma"/>
        </w:rPr>
        <w:t>з</w:t>
      </w:r>
      <w:r w:rsidR="00B662C4" w:rsidRPr="004B5481">
        <w:rPr>
          <w:rFonts w:ascii="Roboto" w:eastAsia="Times New Roman" w:hAnsi="Roboto" w:cs="Tahoma"/>
          <w:color w:val="00000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1"/>
      <w:r w:rsidR="00B662C4" w:rsidRPr="004B5481">
        <w:rPr>
          <w:rFonts w:ascii="Roboto" w:eastAsia="Times New Roman" w:hAnsi="Roboto" w:cs="Tahoma"/>
          <w:color w:val="000000"/>
          <w:lang w:eastAsia="ru-RU"/>
        </w:rPr>
        <w:t>.</w:t>
      </w:r>
    </w:p>
    <w:bookmarkEnd w:id="0"/>
    <w:p w14:paraId="5039AF15" w14:textId="77777777" w:rsidR="00B662C4" w:rsidRPr="004B5481" w:rsidRDefault="00B662C4" w:rsidP="00B662C4">
      <w:pPr>
        <w:spacing w:after="0" w:line="240" w:lineRule="auto"/>
        <w:ind w:left="-851" w:firstLine="567"/>
        <w:jc w:val="both"/>
        <w:rPr>
          <w:rFonts w:ascii="Roboto" w:hAnsi="Roboto" w:cs="Tahoma"/>
        </w:rPr>
      </w:pPr>
    </w:p>
    <w:p w14:paraId="3991119B" w14:textId="747EC039" w:rsidR="004B408D" w:rsidRPr="004B5481" w:rsidRDefault="004B408D" w:rsidP="00B662C4">
      <w:pPr>
        <w:spacing w:after="0" w:line="240" w:lineRule="auto"/>
        <w:ind w:left="-993" w:firstLine="567"/>
        <w:jc w:val="both"/>
        <w:rPr>
          <w:rFonts w:ascii="Roboto" w:hAnsi="Roboto" w:cs="Tahoma"/>
        </w:rPr>
      </w:pPr>
    </w:p>
    <w:sectPr w:rsidR="004B408D" w:rsidRPr="004B5481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729A0"/>
    <w:rsid w:val="000C6C30"/>
    <w:rsid w:val="00101AB2"/>
    <w:rsid w:val="00177DCD"/>
    <w:rsid w:val="001812C4"/>
    <w:rsid w:val="00194AA7"/>
    <w:rsid w:val="00195B3A"/>
    <w:rsid w:val="001A26DB"/>
    <w:rsid w:val="001D1069"/>
    <w:rsid w:val="001F549C"/>
    <w:rsid w:val="00203FA5"/>
    <w:rsid w:val="00297AE0"/>
    <w:rsid w:val="002B5880"/>
    <w:rsid w:val="002D79A0"/>
    <w:rsid w:val="00302749"/>
    <w:rsid w:val="00331632"/>
    <w:rsid w:val="00373736"/>
    <w:rsid w:val="00377441"/>
    <w:rsid w:val="00382282"/>
    <w:rsid w:val="0038790A"/>
    <w:rsid w:val="004214EF"/>
    <w:rsid w:val="004637E2"/>
    <w:rsid w:val="004B408D"/>
    <w:rsid w:val="004B5481"/>
    <w:rsid w:val="004B55B8"/>
    <w:rsid w:val="004E2386"/>
    <w:rsid w:val="005A2564"/>
    <w:rsid w:val="005D4610"/>
    <w:rsid w:val="005F4B71"/>
    <w:rsid w:val="006019EE"/>
    <w:rsid w:val="00637D1C"/>
    <w:rsid w:val="00653F9B"/>
    <w:rsid w:val="006555B0"/>
    <w:rsid w:val="00656018"/>
    <w:rsid w:val="00663378"/>
    <w:rsid w:val="0070628C"/>
    <w:rsid w:val="00737068"/>
    <w:rsid w:val="00737A77"/>
    <w:rsid w:val="008979D4"/>
    <w:rsid w:val="009335D1"/>
    <w:rsid w:val="00976BD8"/>
    <w:rsid w:val="00996F54"/>
    <w:rsid w:val="009A01EA"/>
    <w:rsid w:val="00A20882"/>
    <w:rsid w:val="00A35338"/>
    <w:rsid w:val="00A56161"/>
    <w:rsid w:val="00A75475"/>
    <w:rsid w:val="00A93869"/>
    <w:rsid w:val="00AB3930"/>
    <w:rsid w:val="00B20009"/>
    <w:rsid w:val="00B24DD0"/>
    <w:rsid w:val="00B65353"/>
    <w:rsid w:val="00B662C4"/>
    <w:rsid w:val="00BA69EA"/>
    <w:rsid w:val="00BB3CEB"/>
    <w:rsid w:val="00C239B3"/>
    <w:rsid w:val="00C34A1B"/>
    <w:rsid w:val="00C63C7A"/>
    <w:rsid w:val="00CB5EA8"/>
    <w:rsid w:val="00CC2EB8"/>
    <w:rsid w:val="00CC5764"/>
    <w:rsid w:val="00CE01EA"/>
    <w:rsid w:val="00D16159"/>
    <w:rsid w:val="00D20791"/>
    <w:rsid w:val="00D40077"/>
    <w:rsid w:val="00D74F90"/>
    <w:rsid w:val="00DE638C"/>
    <w:rsid w:val="00DE7831"/>
    <w:rsid w:val="00E23523"/>
    <w:rsid w:val="00E6797B"/>
    <w:rsid w:val="00E70CA9"/>
    <w:rsid w:val="00E93EEC"/>
    <w:rsid w:val="00EB36CD"/>
    <w:rsid w:val="00EF5306"/>
    <w:rsid w:val="00F4692A"/>
    <w:rsid w:val="00F51B47"/>
    <w:rsid w:val="00F77A26"/>
    <w:rsid w:val="00F85CF9"/>
    <w:rsid w:val="00FD7D73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1F"/>
  <w15:docId w15:val="{A8DBF3F8-C0AB-4BC0-B59F-1B72539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C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42</cp:revision>
  <cp:lastPrinted>2025-06-26T03:52:00Z</cp:lastPrinted>
  <dcterms:created xsi:type="dcterms:W3CDTF">2019-11-19T22:02:00Z</dcterms:created>
  <dcterms:modified xsi:type="dcterms:W3CDTF">2025-06-26T04:09:00Z</dcterms:modified>
</cp:coreProperties>
</file>